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DF3A9" w14:textId="77777777" w:rsidR="00E77409" w:rsidRDefault="00E77409" w:rsidP="00E77409">
      <w:pPr>
        <w:pStyle w:val="Titre13"/>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pPr>
      <w:r>
        <w:t>Immunologie</w:t>
      </w:r>
    </w:p>
    <w:p w14:paraId="084987B8" w14:textId="77777777" w:rsidR="00E77409" w:rsidRDefault="00E77409" w:rsidP="00E77409">
      <w:pPr>
        <w:pStyle w:val="Titre13"/>
        <w:shd w:val="clear" w:color="auto" w:fill="au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spacing w:before="120" w:after="120"/>
        <w:rPr>
          <w:color w:val="000000"/>
          <w:sz w:val="28"/>
        </w:rPr>
      </w:pPr>
      <w:r>
        <w:rPr>
          <w:sz w:val="28"/>
        </w:rPr>
        <w:t>Laboratoires d’Immunobiologie et Immunologie médicale</w:t>
      </w:r>
    </w:p>
    <w:p w14:paraId="07E851D9" w14:textId="77777777" w:rsidR="00E77409" w:rsidRDefault="00E77409" w:rsidP="00E77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spacing w:line="276" w:lineRule="auto"/>
        <w:rPr>
          <w:color w:val="808080" w:themeColor="background1" w:themeShade="80"/>
          <w:lang w:val="fr-BE"/>
        </w:rPr>
      </w:pPr>
      <w:r>
        <w:rPr>
          <w:color w:val="808080" w:themeColor="background1" w:themeShade="80"/>
          <w:lang w:val="fr-BE"/>
        </w:rPr>
        <w:t>Fabienne ANDRIS : Fabienne.Andris@ulb.be</w:t>
      </w:r>
    </w:p>
    <w:p w14:paraId="7698A78D" w14:textId="77777777" w:rsidR="00E77409" w:rsidRDefault="00E77409" w:rsidP="00E77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spacing w:line="276" w:lineRule="auto"/>
        <w:rPr>
          <w:color w:val="808080" w:themeColor="background1" w:themeShade="80"/>
          <w:lang w:val="en-US"/>
        </w:rPr>
      </w:pPr>
      <w:r>
        <w:rPr>
          <w:color w:val="808080" w:themeColor="background1" w:themeShade="80"/>
          <w:lang w:val="en-US"/>
        </w:rPr>
        <w:t>Stanislas GORIELY: Stanislas.Goriely@ulb.be</w:t>
      </w:r>
    </w:p>
    <w:p w14:paraId="5960D57D" w14:textId="77777777" w:rsidR="00E77409" w:rsidRDefault="00E77409" w:rsidP="00E77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spacing w:line="276" w:lineRule="auto"/>
        <w:rPr>
          <w:color w:val="808080" w:themeColor="background1" w:themeShade="80"/>
          <w:lang w:val="en-US"/>
        </w:rPr>
      </w:pPr>
      <w:r>
        <w:rPr>
          <w:color w:val="808080" w:themeColor="background1" w:themeShade="80"/>
          <w:lang w:val="en-US"/>
        </w:rPr>
        <w:t xml:space="preserve">Guillaume OLDENHOVE: </w:t>
      </w:r>
      <w:hyperlink r:id="rId8" w:history="1">
        <w:r>
          <w:rPr>
            <w:rStyle w:val="Lienhypertexte"/>
            <w:rFonts w:ascii="Times New Roman" w:hAnsi="Times New Roman" w:cs="Times New Roman"/>
            <w:color w:val="808080" w:themeColor="background1" w:themeShade="80"/>
            <w:sz w:val="24"/>
            <w:u w:val="none"/>
          </w:rPr>
          <w:t>guillaume.oldenhove</w:t>
        </w:r>
        <w:r>
          <w:rPr>
            <w:rStyle w:val="Lienhypertexte"/>
            <w:rFonts w:ascii="Times New Roman" w:hAnsi="Times New Roman" w:cs="Times New Roman"/>
            <w:color w:val="808080" w:themeColor="background1" w:themeShade="80"/>
            <w:sz w:val="22"/>
            <w:szCs w:val="22"/>
            <w:u w:val="none"/>
          </w:rPr>
          <w:t>@ulb.be</w:t>
        </w:r>
        <w:r>
          <w:rPr>
            <w:rStyle w:val="Lienhypertexte"/>
            <w:rFonts w:ascii="Times New Roman" w:hAnsi="Times New Roman" w:cs="Times New Roman"/>
            <w:color w:val="808080" w:themeColor="background1" w:themeShade="80"/>
            <w:sz w:val="24"/>
            <w:u w:val="none"/>
          </w:rPr>
          <w:t xml:space="preserve"> </w:t>
        </w:r>
      </w:hyperlink>
    </w:p>
    <w:p w14:paraId="3F5C943A" w14:textId="77777777" w:rsidR="00E77409" w:rsidRPr="00B106EB" w:rsidRDefault="00E77409" w:rsidP="00E7740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rPr>
          <w:color w:val="000000"/>
          <w:sz w:val="22"/>
          <w:lang w:val="en-US"/>
        </w:rPr>
      </w:pPr>
    </w:p>
    <w:p w14:paraId="5DAF4A6A" w14:textId="77777777" w:rsidR="00E77409" w:rsidRDefault="00E77409" w:rsidP="00E77409">
      <w:pPr>
        <w:pStyle w:val="sub"/>
        <w:tabs>
          <w:tab w:val="left" w:pos="4956"/>
          <w:tab w:val="left" w:pos="5664"/>
          <w:tab w:val="left" w:pos="6372"/>
          <w:tab w:val="left" w:pos="7080"/>
          <w:tab w:val="left" w:pos="7788"/>
          <w:tab w:val="left" w:pos="8496"/>
          <w:tab w:val="left" w:pos="9007"/>
        </w:tabs>
        <w:spacing w:before="0" w:after="0" w:line="240" w:lineRule="auto"/>
        <w:rPr>
          <w:sz w:val="22"/>
          <w:lang w:val="fr-BE"/>
        </w:rPr>
      </w:pPr>
      <w:r>
        <w:rPr>
          <w:rFonts w:ascii="Times New Roman Italic" w:eastAsia="ヒラギノ角ゴ Pro W3" w:hAnsi="Times New Roman Italic"/>
          <w:b w:val="0"/>
          <w:i w:val="0"/>
          <w:sz w:val="22"/>
          <w:lang w:val="fr-FR"/>
        </w:rPr>
        <w:t xml:space="preserve">Localisation : IBMM, rue Prof. </w:t>
      </w:r>
      <w:proofErr w:type="spellStart"/>
      <w:r>
        <w:rPr>
          <w:rFonts w:ascii="Times New Roman Italic" w:eastAsia="ヒラギノ角ゴ Pro W3" w:hAnsi="Times New Roman Italic"/>
          <w:b w:val="0"/>
          <w:i w:val="0"/>
          <w:sz w:val="22"/>
          <w:lang w:val="fr-FR"/>
        </w:rPr>
        <w:t>Jeener</w:t>
      </w:r>
      <w:proofErr w:type="spellEnd"/>
      <w:r>
        <w:rPr>
          <w:rFonts w:ascii="Times New Roman Italic" w:eastAsia="ヒラギノ角ゴ Pro W3" w:hAnsi="Times New Roman Italic"/>
          <w:b w:val="0"/>
          <w:i w:val="0"/>
          <w:sz w:val="22"/>
          <w:lang w:val="fr-FR"/>
        </w:rPr>
        <w:t xml:space="preserve"> et Brachet 12, B-6041 Gosselies   </w:t>
      </w:r>
      <w:r>
        <w:rPr>
          <w:sz w:val="22"/>
          <w:lang w:val="fr-BE"/>
        </w:rPr>
        <w:t>tél.  02 650 98 61</w:t>
      </w:r>
      <w:r>
        <w:rPr>
          <w:sz w:val="22"/>
          <w:lang w:val="fr-BE"/>
        </w:rPr>
        <w:tab/>
      </w:r>
    </w:p>
    <w:p w14:paraId="28C69A14" w14:textId="77777777" w:rsidR="00E77409" w:rsidRDefault="00E77409" w:rsidP="00E77409">
      <w:pPr>
        <w:pStyle w:val="Titre33"/>
        <w:rPr>
          <w:color w:val="2F5496" w:themeColor="accent1" w:themeShade="BF"/>
          <w:sz w:val="22"/>
          <w:lang w:val="fr-FR"/>
        </w:rPr>
      </w:pPr>
      <w:r>
        <w:rPr>
          <w:color w:val="2F5496" w:themeColor="accent1" w:themeShade="BF"/>
          <w:lang w:val="fr-FR"/>
        </w:rPr>
        <w:t>Thèmes des recherches</w:t>
      </w:r>
    </w:p>
    <w:p w14:paraId="6611B560" w14:textId="77777777" w:rsidR="00E77409" w:rsidRDefault="00E77409" w:rsidP="00E77409">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rPr>
          <w:rFonts w:asciiTheme="majorHAnsi" w:hAnsiTheme="majorHAnsi"/>
          <w:szCs w:val="24"/>
        </w:rPr>
      </w:pPr>
      <w:r>
        <w:rPr>
          <w:rFonts w:asciiTheme="majorHAnsi" w:hAnsiTheme="majorHAnsi"/>
          <w:szCs w:val="24"/>
        </w:rPr>
        <w:t xml:space="preserve">Les thèmes de recherche principaux des laboratoires d’accueil portent sur l’étude du système immunitaire. Le système immunitaire confère à un organisme la capacité de se défendre contre une multitude d’agents pathogènes (virus, bactéries, parasites) responsables de maladies infectieuses. De nombreux travaux ont démontré que ce système de défense est aussi capable de reconnaître et d’éliminer les cellules tumorales, mais peut aussi, dans certaines conditions, s’attaquer aux constituants sains de l’organisme, provoquant alors des maladies dites auto-immunes ou inflammatoires.   </w:t>
      </w:r>
    </w:p>
    <w:p w14:paraId="506801FC" w14:textId="77777777" w:rsidR="00E77409" w:rsidRDefault="00E77409" w:rsidP="00E77409">
      <w:pPr>
        <w:pStyle w:val="Titre3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07"/>
        </w:tabs>
        <w:rPr>
          <w:color w:val="2F5496" w:themeColor="accent1" w:themeShade="BF"/>
          <w:sz w:val="22"/>
          <w:lang w:val="fr-FR"/>
        </w:rPr>
      </w:pPr>
      <w:r>
        <w:rPr>
          <w:color w:val="2F5496" w:themeColor="accent1" w:themeShade="BF"/>
          <w:lang w:val="fr-FR"/>
        </w:rPr>
        <w:t>Projets de recherche</w:t>
      </w:r>
    </w:p>
    <w:p w14:paraId="4120FFC8" w14:textId="77777777" w:rsidR="00E77409" w:rsidRDefault="00E77409" w:rsidP="00E77409">
      <w:pPr>
        <w:spacing w:after="120" w:line="268" w:lineRule="auto"/>
        <w:jc w:val="both"/>
        <w:rPr>
          <w:rFonts w:asciiTheme="majorHAnsi" w:hAnsiTheme="majorHAnsi"/>
          <w:b/>
          <w:bCs/>
        </w:rPr>
      </w:pPr>
      <w:r>
        <w:rPr>
          <w:rFonts w:asciiTheme="majorHAnsi" w:hAnsiTheme="majorHAnsi"/>
          <w:b/>
          <w:bCs/>
        </w:rPr>
        <w:t xml:space="preserve">1.  Etude d’un modèle murin d’obésité </w:t>
      </w:r>
      <w:r>
        <w:rPr>
          <w:rFonts w:asciiTheme="majorHAnsi" w:hAnsiTheme="majorHAnsi"/>
          <w:b/>
          <w:bCs/>
          <w:i/>
          <w:iCs/>
          <w:color w:val="4472C4" w:themeColor="accent1"/>
        </w:rPr>
        <w:t>(Guillaume Oldenhove)</w:t>
      </w:r>
    </w:p>
    <w:p w14:paraId="2A017054" w14:textId="77777777" w:rsidR="00E77409" w:rsidRDefault="00E77409" w:rsidP="00E7740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eastAsia="Times New Roman" w:hAnsiTheme="majorHAnsi"/>
          <w:color w:val="auto"/>
          <w:shd w:val="clear" w:color="auto" w:fill="FFFFFF"/>
          <w:lang w:val="fr-BE"/>
        </w:rPr>
      </w:pPr>
      <w:r>
        <w:rPr>
          <w:rFonts w:asciiTheme="majorHAnsi" w:eastAsia="Times New Roman" w:hAnsiTheme="majorHAnsi"/>
          <w:shd w:val="clear" w:color="auto" w:fill="FFFFFF"/>
          <w:lang w:val="fr-BE"/>
        </w:rPr>
        <w:t>L'obésité, ainsi que le diabète auquel elle peut mener, sont associés à une réponse inflammatoire chronique de bas grade. Au sein du tissu adipeux, cette réponse inflammatoire se traduit par une perte de la réponse anti-inflammatoire de type Th2 au profit d’une réponse inflammatoire de type Th1. Cependant, les mécanismes moléculaires à la base de ce changement dans la réponse immunitaire ne sont que peu compris. Le but de notre projet est d’identifier les facteurs responsables de cet infléchissement de la réponse Th2. Nos observations récentes suggèrent que l’activation des récepteurs PD-1 et CD27 exerce un rôle critique dans la régulation de la réponse inflammatoire chez les individus obèses. Nous proposons dès lors d’investiguer la fonction biologique des récepteurs PD-1 et CD27 dans le contexte de l'obésité et de caractériser les mécanismes cellulaires et moléculaires responsables de la prise de poids.</w:t>
      </w:r>
    </w:p>
    <w:p w14:paraId="143F03BC" w14:textId="77777777" w:rsidR="00E77409" w:rsidRDefault="00E77409" w:rsidP="00E7740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eastAsia="Times New Roman" w:hAnsiTheme="majorHAnsi"/>
          <w:color w:val="auto"/>
          <w:shd w:val="clear" w:color="auto" w:fill="FFFFFF"/>
          <w:lang w:val="fr-BE"/>
        </w:rPr>
      </w:pPr>
    </w:p>
    <w:p w14:paraId="507F0622" w14:textId="77777777" w:rsidR="00E77409" w:rsidRDefault="00E77409" w:rsidP="00E7740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eastAsia="Times New Roman" w:hAnsiTheme="majorHAnsi"/>
          <w:color w:val="auto"/>
          <w:shd w:val="clear" w:color="auto" w:fill="FFFFFF"/>
          <w:lang w:val="fr-BE"/>
        </w:rPr>
      </w:pPr>
    </w:p>
    <w:p w14:paraId="341B2117" w14:textId="77777777" w:rsidR="00E77409" w:rsidRDefault="00E77409" w:rsidP="00E77409">
      <w:pPr>
        <w:spacing w:after="120"/>
        <w:jc w:val="both"/>
        <w:rPr>
          <w:rFonts w:asciiTheme="majorHAnsi" w:hAnsiTheme="majorHAnsi"/>
          <w:b/>
          <w:bCs/>
        </w:rPr>
      </w:pPr>
      <w:r>
        <w:rPr>
          <w:rFonts w:asciiTheme="majorHAnsi" w:hAnsiTheme="majorHAnsi"/>
          <w:b/>
          <w:bCs/>
        </w:rPr>
        <w:t xml:space="preserve">2. Régulation de l’homéostasie des lymphocytes T durant l’immunothérapie du </w:t>
      </w:r>
      <w:proofErr w:type="gramStart"/>
      <w:r>
        <w:rPr>
          <w:rFonts w:asciiTheme="majorHAnsi" w:hAnsiTheme="majorHAnsi"/>
          <w:b/>
          <w:bCs/>
        </w:rPr>
        <w:t xml:space="preserve">cancer  </w:t>
      </w:r>
      <w:r>
        <w:rPr>
          <w:rFonts w:asciiTheme="majorHAnsi" w:hAnsiTheme="majorHAnsi"/>
          <w:b/>
          <w:bCs/>
          <w:i/>
          <w:iCs/>
          <w:color w:val="4472C4" w:themeColor="accent1"/>
        </w:rPr>
        <w:t>(</w:t>
      </w:r>
      <w:proofErr w:type="gramEnd"/>
      <w:r>
        <w:rPr>
          <w:rFonts w:asciiTheme="majorHAnsi" w:hAnsiTheme="majorHAnsi"/>
          <w:b/>
          <w:bCs/>
          <w:i/>
          <w:iCs/>
          <w:color w:val="4472C4" w:themeColor="accent1"/>
        </w:rPr>
        <w:t>Fabienne Andris)</w:t>
      </w:r>
    </w:p>
    <w:p w14:paraId="0FD147ED" w14:textId="77777777" w:rsidR="00E77409" w:rsidRDefault="00E77409" w:rsidP="00E7740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eastAsia="Times New Roman" w:hAnsiTheme="majorHAnsi"/>
          <w:shd w:val="clear" w:color="auto" w:fill="FFFFFF"/>
          <w:lang w:val="fr-BE"/>
        </w:rPr>
      </w:pPr>
      <w:r w:rsidRPr="00CD2189">
        <w:rPr>
          <w:rFonts w:asciiTheme="majorHAnsi" w:eastAsia="Times New Roman" w:hAnsiTheme="majorHAnsi"/>
          <w:shd w:val="clear" w:color="auto" w:fill="FFFFFF"/>
          <w:lang w:val="fr-BE"/>
        </w:rPr>
        <w:t xml:space="preserve">L’immunothérapie a révolutionné la prise en charge et le pronostic de certains cancers. Elle consiste à réveiller nos propres lymphocytes pour leur permettre de combattre les cellules tumorales. Malheureusement, ces traitements peuvent être associés à des effets secondaires importants car ils agissent également sur les mécanismes qui permettent la tolérance vis-à-vis de nos cellules saines. Il est dès lors très important de comprendre le rôle physiologique de ces voies de régulation afin de prévenir les complications liées à l’immunothérapie. </w:t>
      </w:r>
      <w:r>
        <w:rPr>
          <w:rFonts w:asciiTheme="majorHAnsi" w:eastAsia="Times New Roman" w:hAnsiTheme="majorHAnsi"/>
          <w:shd w:val="clear" w:color="auto" w:fill="FFFFFF"/>
          <w:lang w:val="fr-BE"/>
        </w:rPr>
        <w:t xml:space="preserve">Nous avons récemment </w:t>
      </w:r>
      <w:r w:rsidRPr="00CD2189">
        <w:rPr>
          <w:rFonts w:asciiTheme="majorHAnsi" w:eastAsia="Times New Roman" w:hAnsiTheme="majorHAnsi"/>
          <w:shd w:val="clear" w:color="auto" w:fill="FFFFFF"/>
          <w:lang w:val="fr-BE"/>
        </w:rPr>
        <w:t>mis en évidence le rôle central de</w:t>
      </w:r>
      <w:r>
        <w:rPr>
          <w:rFonts w:asciiTheme="majorHAnsi" w:eastAsia="Times New Roman" w:hAnsiTheme="majorHAnsi"/>
          <w:shd w:val="clear" w:color="auto" w:fill="FFFFFF"/>
          <w:lang w:val="fr-BE"/>
        </w:rPr>
        <w:t xml:space="preserve"> la</w:t>
      </w:r>
      <w:r w:rsidRPr="00CD2189">
        <w:rPr>
          <w:rFonts w:asciiTheme="majorHAnsi" w:eastAsia="Times New Roman" w:hAnsiTheme="majorHAnsi"/>
          <w:shd w:val="clear" w:color="auto" w:fill="FFFFFF"/>
          <w:lang w:val="fr-BE"/>
        </w:rPr>
        <w:t xml:space="preserve"> voie</w:t>
      </w:r>
      <w:r>
        <w:rPr>
          <w:rFonts w:asciiTheme="majorHAnsi" w:eastAsia="Times New Roman" w:hAnsiTheme="majorHAnsi"/>
          <w:shd w:val="clear" w:color="auto" w:fill="FFFFFF"/>
          <w:lang w:val="fr-BE"/>
        </w:rPr>
        <w:t xml:space="preserve"> PDL-1 / PD-1</w:t>
      </w:r>
      <w:r w:rsidRPr="00CD2189">
        <w:rPr>
          <w:rFonts w:asciiTheme="majorHAnsi" w:eastAsia="Times New Roman" w:hAnsiTheme="majorHAnsi"/>
          <w:shd w:val="clear" w:color="auto" w:fill="FFFFFF"/>
          <w:lang w:val="fr-BE"/>
        </w:rPr>
        <w:t xml:space="preserve"> </w:t>
      </w:r>
      <w:r>
        <w:rPr>
          <w:rFonts w:asciiTheme="majorHAnsi" w:eastAsia="Times New Roman" w:hAnsiTheme="majorHAnsi"/>
          <w:shd w:val="clear" w:color="auto" w:fill="FFFFFF"/>
          <w:lang w:val="fr-BE"/>
        </w:rPr>
        <w:t xml:space="preserve">(une des </w:t>
      </w:r>
      <w:r w:rsidRPr="00CD2189">
        <w:rPr>
          <w:rFonts w:asciiTheme="majorHAnsi" w:eastAsia="Times New Roman" w:hAnsiTheme="majorHAnsi"/>
          <w:shd w:val="clear" w:color="auto" w:fill="FFFFFF"/>
          <w:lang w:val="fr-BE"/>
        </w:rPr>
        <w:t xml:space="preserve">cibles </w:t>
      </w:r>
      <w:r>
        <w:rPr>
          <w:rFonts w:asciiTheme="majorHAnsi" w:eastAsia="Times New Roman" w:hAnsiTheme="majorHAnsi"/>
          <w:shd w:val="clear" w:color="auto" w:fill="FFFFFF"/>
          <w:lang w:val="fr-BE"/>
        </w:rPr>
        <w:t xml:space="preserve">majeurs de </w:t>
      </w:r>
      <w:r w:rsidRPr="00CD2189">
        <w:rPr>
          <w:rFonts w:asciiTheme="majorHAnsi" w:eastAsia="Times New Roman" w:hAnsiTheme="majorHAnsi"/>
          <w:shd w:val="clear" w:color="auto" w:fill="FFFFFF"/>
          <w:lang w:val="fr-BE"/>
        </w:rPr>
        <w:lastRenderedPageBreak/>
        <w:t>l’immunothérapie</w:t>
      </w:r>
      <w:r>
        <w:rPr>
          <w:rFonts w:asciiTheme="majorHAnsi" w:eastAsia="Times New Roman" w:hAnsiTheme="majorHAnsi"/>
          <w:shd w:val="clear" w:color="auto" w:fill="FFFFFF"/>
          <w:lang w:val="fr-BE"/>
        </w:rPr>
        <w:t>)</w:t>
      </w:r>
      <w:r w:rsidRPr="00CD2189">
        <w:rPr>
          <w:rFonts w:asciiTheme="majorHAnsi" w:eastAsia="Times New Roman" w:hAnsiTheme="majorHAnsi"/>
          <w:shd w:val="clear" w:color="auto" w:fill="FFFFFF"/>
          <w:lang w:val="fr-BE"/>
        </w:rPr>
        <w:t xml:space="preserve"> dans le maintien au repos des lymphocytes </w:t>
      </w:r>
      <w:r>
        <w:rPr>
          <w:rFonts w:asciiTheme="majorHAnsi" w:eastAsia="Times New Roman" w:hAnsiTheme="majorHAnsi"/>
          <w:shd w:val="clear" w:color="auto" w:fill="FFFFFF"/>
          <w:lang w:val="fr-BE"/>
        </w:rPr>
        <w:t xml:space="preserve">T cytotoxiques </w:t>
      </w:r>
      <w:r w:rsidRPr="00CD2189">
        <w:rPr>
          <w:rFonts w:asciiTheme="majorHAnsi" w:eastAsia="Times New Roman" w:hAnsiTheme="majorHAnsi"/>
          <w:shd w:val="clear" w:color="auto" w:fill="FFFFFF"/>
          <w:lang w:val="fr-BE"/>
        </w:rPr>
        <w:t xml:space="preserve">qui résident dans le foie. </w:t>
      </w:r>
      <w:r>
        <w:rPr>
          <w:rFonts w:asciiTheme="majorHAnsi" w:eastAsia="Times New Roman" w:hAnsiTheme="majorHAnsi"/>
          <w:shd w:val="clear" w:color="auto" w:fill="FFFFFF"/>
          <w:lang w:val="fr-BE"/>
        </w:rPr>
        <w:t xml:space="preserve">Notre travail vise à mieux caractériser les voies activatrices (CD27) et inhibitrices (PD-1) qui régulent l’homéostasie de ces lymphocytes T et qui </w:t>
      </w:r>
      <w:r w:rsidRPr="00CD2189">
        <w:rPr>
          <w:rFonts w:asciiTheme="majorHAnsi" w:eastAsia="Times New Roman" w:hAnsiTheme="majorHAnsi"/>
          <w:shd w:val="clear" w:color="auto" w:fill="FFFFFF"/>
          <w:lang w:val="fr-BE"/>
        </w:rPr>
        <w:t>pourrai</w:t>
      </w:r>
      <w:r>
        <w:rPr>
          <w:rFonts w:asciiTheme="majorHAnsi" w:eastAsia="Times New Roman" w:hAnsiTheme="majorHAnsi"/>
          <w:shd w:val="clear" w:color="auto" w:fill="FFFFFF"/>
          <w:lang w:val="fr-BE"/>
        </w:rPr>
        <w:t>en</w:t>
      </w:r>
      <w:r w:rsidRPr="00CD2189">
        <w:rPr>
          <w:rFonts w:asciiTheme="majorHAnsi" w:eastAsia="Times New Roman" w:hAnsiTheme="majorHAnsi"/>
          <w:shd w:val="clear" w:color="auto" w:fill="FFFFFF"/>
          <w:lang w:val="fr-BE"/>
        </w:rPr>
        <w:t>t être à l’origine des toxicités hépatiques observées chez certains patients sous traitement.</w:t>
      </w:r>
      <w:r>
        <w:rPr>
          <w:rFonts w:asciiTheme="majorHAnsi" w:eastAsia="Times New Roman" w:hAnsiTheme="majorHAnsi"/>
          <w:shd w:val="clear" w:color="auto" w:fill="FFFFFF"/>
          <w:lang w:val="fr-BE"/>
        </w:rPr>
        <w:t xml:space="preserve"> </w:t>
      </w:r>
    </w:p>
    <w:p w14:paraId="3B29269A" w14:textId="0876B4EB" w:rsidR="00C45A9E" w:rsidRDefault="00C45A9E" w:rsidP="00E7740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eastAsia="Times New Roman" w:hAnsiTheme="majorHAnsi"/>
          <w:shd w:val="clear" w:color="auto" w:fill="FFFFFF"/>
          <w:lang w:val="fr-BE"/>
        </w:rPr>
      </w:pPr>
      <w:r>
        <w:rPr>
          <w:rFonts w:asciiTheme="majorHAnsi" w:eastAsia="Times New Roman" w:hAnsiTheme="majorHAnsi"/>
          <w:shd w:val="clear" w:color="auto" w:fill="FFFFFF"/>
          <w:lang w:val="fr-BE"/>
        </w:rPr>
        <w:t xml:space="preserve">Nous étudions également les mécanismes moléculaires qui sous-tendent la différenciation des </w:t>
      </w:r>
    </w:p>
    <w:p w14:paraId="5AA720D0" w14:textId="70227336" w:rsidR="00E77409" w:rsidRDefault="00C45A9E" w:rsidP="00E77409">
      <w:pPr>
        <w:jc w:val="both"/>
        <w:rPr>
          <w:rFonts w:asciiTheme="majorHAnsi" w:hAnsiTheme="majorHAnsi"/>
          <w:lang w:val="fr-BE"/>
        </w:rPr>
      </w:pPr>
      <w:r>
        <w:rPr>
          <w:rFonts w:asciiTheme="majorHAnsi" w:hAnsiTheme="majorHAnsi"/>
          <w:lang w:val="fr-BE"/>
        </w:rPr>
        <w:t>sous-populations lymphocytes T cytotoxiques (effecteur, mémoire, résidants, épuisés) dans un modèle murin de tumeur du foie (hépatocarcinome).</w:t>
      </w:r>
    </w:p>
    <w:p w14:paraId="56A978B3" w14:textId="77777777" w:rsidR="00C45A9E" w:rsidRPr="00C45A9E" w:rsidRDefault="00C45A9E" w:rsidP="00E77409">
      <w:pPr>
        <w:jc w:val="both"/>
        <w:rPr>
          <w:rFonts w:asciiTheme="majorHAnsi" w:hAnsiTheme="majorHAnsi"/>
          <w:lang w:val="fr-BE"/>
        </w:rPr>
      </w:pPr>
    </w:p>
    <w:p w14:paraId="58A2BA61" w14:textId="77777777" w:rsidR="00E77409" w:rsidRPr="00C45A9E" w:rsidRDefault="00E77409" w:rsidP="00E7740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eastAsia="Times New Roman" w:hAnsiTheme="majorHAnsi"/>
          <w:color w:val="auto"/>
          <w:shd w:val="clear" w:color="auto" w:fill="FFFFFF"/>
          <w:lang w:val="fr-BE"/>
        </w:rPr>
      </w:pPr>
    </w:p>
    <w:p w14:paraId="75D50DE0" w14:textId="537B5569" w:rsidR="00E77409" w:rsidRDefault="00C45A9E" w:rsidP="00E77409">
      <w:pPr>
        <w:spacing w:after="120" w:line="268" w:lineRule="auto"/>
        <w:jc w:val="both"/>
        <w:rPr>
          <w:rFonts w:asciiTheme="majorHAnsi" w:hAnsiTheme="majorHAnsi"/>
          <w:b/>
          <w:bCs/>
          <w:i/>
          <w:iCs/>
          <w:color w:val="4472C4" w:themeColor="accent1"/>
        </w:rPr>
      </w:pPr>
      <w:r>
        <w:rPr>
          <w:rFonts w:asciiTheme="majorHAnsi" w:hAnsiTheme="majorHAnsi"/>
          <w:b/>
          <w:bCs/>
        </w:rPr>
        <w:t>3</w:t>
      </w:r>
      <w:r w:rsidR="00E77409">
        <w:rPr>
          <w:rFonts w:asciiTheme="majorHAnsi" w:hAnsiTheme="majorHAnsi"/>
          <w:b/>
          <w:bCs/>
        </w:rPr>
        <w:t xml:space="preserve">. Modèle de souris humanisées pour l’étude des macrophages infiltrant les tumeurs </w:t>
      </w:r>
      <w:r w:rsidR="00E77409">
        <w:rPr>
          <w:rFonts w:asciiTheme="majorHAnsi" w:hAnsiTheme="majorHAnsi"/>
          <w:b/>
          <w:bCs/>
          <w:i/>
          <w:iCs/>
          <w:color w:val="4472C4" w:themeColor="accent1"/>
        </w:rPr>
        <w:t>(Stanislas Goriely)</w:t>
      </w:r>
    </w:p>
    <w:p w14:paraId="09824722" w14:textId="77777777" w:rsidR="00E77409" w:rsidRDefault="00E77409" w:rsidP="00E7740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eastAsia="Times New Roman" w:hAnsiTheme="majorHAnsi"/>
          <w:color w:val="auto"/>
          <w:szCs w:val="24"/>
          <w:shd w:val="clear" w:color="auto" w:fill="FFFFFF"/>
        </w:rPr>
      </w:pPr>
      <w:r>
        <w:rPr>
          <w:rFonts w:asciiTheme="majorHAnsi" w:eastAsia="Times New Roman" w:hAnsiTheme="majorHAnsi"/>
          <w:szCs w:val="24"/>
          <w:shd w:val="clear" w:color="auto" w:fill="FFFFFF"/>
        </w:rPr>
        <w:t xml:space="preserve">Malgré les progrès grandissants de l’immunothérapie, certains types de cancer répondent très mal à ces approches et d’autres développent des résistances en cours de traitement. Si la présence d’un nombre important de lymphocytes T CD8 infiltrant la tumeur est un facteur de bon pronostic (ce sont en effet les cellules responsables de la destruction des cellules tumorales), une forte densité de macrophages est, quant à elle, généralement signe de mauvais pronostic. Ces observations suggèrent que ces cellules jouent un rôle délétère sur les réponses </w:t>
      </w:r>
      <w:proofErr w:type="spellStart"/>
      <w:r>
        <w:rPr>
          <w:rFonts w:asciiTheme="majorHAnsi" w:eastAsia="Times New Roman" w:hAnsiTheme="majorHAnsi"/>
          <w:szCs w:val="24"/>
          <w:shd w:val="clear" w:color="auto" w:fill="FFFFFF"/>
        </w:rPr>
        <w:t>anti-tumorales</w:t>
      </w:r>
      <w:proofErr w:type="spellEnd"/>
      <w:r>
        <w:rPr>
          <w:rFonts w:asciiTheme="majorHAnsi" w:eastAsia="Times New Roman" w:hAnsiTheme="majorHAnsi"/>
          <w:szCs w:val="24"/>
          <w:shd w:val="clear" w:color="auto" w:fill="FFFFFF"/>
        </w:rPr>
        <w:t xml:space="preserve">. Le projet vise à comprendre comment les macrophages qui infiltrent les tumeurs solides (TAM) contribuent à la résistance aux traitements anti-cancéreux, et en particulier à l’immunothérapie. Afin de répondre au mieux aux besoins cliniques, nous proposons d’explorer cette question sur différents modèles </w:t>
      </w:r>
      <w:r>
        <w:rPr>
          <w:rFonts w:asciiTheme="majorHAnsi" w:eastAsia="Times New Roman" w:hAnsiTheme="majorHAnsi"/>
          <w:i/>
          <w:iCs/>
          <w:szCs w:val="24"/>
          <w:shd w:val="clear" w:color="auto" w:fill="FFFFFF"/>
        </w:rPr>
        <w:t xml:space="preserve">in vitro </w:t>
      </w:r>
      <w:r>
        <w:rPr>
          <w:rFonts w:asciiTheme="majorHAnsi" w:eastAsia="Times New Roman" w:hAnsiTheme="majorHAnsi"/>
          <w:szCs w:val="24"/>
          <w:shd w:val="clear" w:color="auto" w:fill="FFFFFF"/>
        </w:rPr>
        <w:t xml:space="preserve">et </w:t>
      </w:r>
      <w:r>
        <w:rPr>
          <w:rFonts w:asciiTheme="majorHAnsi" w:eastAsia="Times New Roman" w:hAnsiTheme="majorHAnsi"/>
          <w:i/>
          <w:iCs/>
          <w:szCs w:val="24"/>
          <w:shd w:val="clear" w:color="auto" w:fill="FFFFFF"/>
        </w:rPr>
        <w:t>in vivo</w:t>
      </w:r>
      <w:r>
        <w:rPr>
          <w:rFonts w:asciiTheme="majorHAnsi" w:eastAsia="Times New Roman" w:hAnsiTheme="majorHAnsi"/>
          <w:szCs w:val="24"/>
          <w:shd w:val="clear" w:color="auto" w:fill="FFFFFF"/>
        </w:rPr>
        <w:t xml:space="preserve"> du microenvironnement tumoral, parmi lesquels figure un modèle de souris humanisées de « nouvelle génération ». Ces souris ont été modifiées pour exprimer un ensemble de facteurs de croissance humains. Elles représentent ainsi le seul modèle actuellement disponible qui récapitule efficacement le développement des cellules de la lignée myéloïde. Le projet visera à établir ce modèle pour recréer in vivo un microenvironnement tumoral « humain » et étudier le rôle des macrophages dans ce contexte. Par des approches cellulaires (</w:t>
      </w:r>
      <w:proofErr w:type="spellStart"/>
      <w:r>
        <w:rPr>
          <w:rFonts w:asciiTheme="majorHAnsi" w:eastAsia="Times New Roman" w:hAnsiTheme="majorHAnsi"/>
          <w:szCs w:val="24"/>
          <w:shd w:val="clear" w:color="auto" w:fill="FFFFFF"/>
        </w:rPr>
        <w:t>cytométrie</w:t>
      </w:r>
      <w:proofErr w:type="spellEnd"/>
      <w:r>
        <w:rPr>
          <w:rFonts w:asciiTheme="majorHAnsi" w:eastAsia="Times New Roman" w:hAnsiTheme="majorHAnsi"/>
          <w:szCs w:val="24"/>
          <w:shd w:val="clear" w:color="auto" w:fill="FFFFFF"/>
        </w:rPr>
        <w:t xml:space="preserve"> en flux) et moléculaire (single </w:t>
      </w:r>
      <w:proofErr w:type="spellStart"/>
      <w:r>
        <w:rPr>
          <w:rFonts w:asciiTheme="majorHAnsi" w:eastAsia="Times New Roman" w:hAnsiTheme="majorHAnsi"/>
          <w:szCs w:val="24"/>
          <w:shd w:val="clear" w:color="auto" w:fill="FFFFFF"/>
        </w:rPr>
        <w:t>cell</w:t>
      </w:r>
      <w:proofErr w:type="spellEnd"/>
      <w:r>
        <w:rPr>
          <w:rFonts w:asciiTheme="majorHAnsi" w:eastAsia="Times New Roman" w:hAnsiTheme="majorHAnsi"/>
          <w:szCs w:val="24"/>
          <w:shd w:val="clear" w:color="auto" w:fill="FFFFFF"/>
        </w:rPr>
        <w:t xml:space="preserve"> </w:t>
      </w:r>
      <w:proofErr w:type="spellStart"/>
      <w:r>
        <w:rPr>
          <w:rFonts w:asciiTheme="majorHAnsi" w:eastAsia="Times New Roman" w:hAnsiTheme="majorHAnsi"/>
          <w:szCs w:val="24"/>
          <w:shd w:val="clear" w:color="auto" w:fill="FFFFFF"/>
        </w:rPr>
        <w:t>RNASeq</w:t>
      </w:r>
      <w:proofErr w:type="spellEnd"/>
      <w:r>
        <w:rPr>
          <w:rFonts w:asciiTheme="majorHAnsi" w:eastAsia="Times New Roman" w:hAnsiTheme="majorHAnsi"/>
          <w:szCs w:val="24"/>
          <w:shd w:val="clear" w:color="auto" w:fill="FFFFFF"/>
        </w:rPr>
        <w:t>, ATAC-</w:t>
      </w:r>
      <w:proofErr w:type="spellStart"/>
      <w:r>
        <w:rPr>
          <w:rFonts w:asciiTheme="majorHAnsi" w:eastAsia="Times New Roman" w:hAnsiTheme="majorHAnsi"/>
          <w:szCs w:val="24"/>
          <w:shd w:val="clear" w:color="auto" w:fill="FFFFFF"/>
        </w:rPr>
        <w:t>seq</w:t>
      </w:r>
      <w:proofErr w:type="spellEnd"/>
      <w:r>
        <w:rPr>
          <w:rFonts w:asciiTheme="majorHAnsi" w:eastAsia="Times New Roman" w:hAnsiTheme="majorHAnsi"/>
          <w:szCs w:val="24"/>
          <w:shd w:val="clear" w:color="auto" w:fill="FFFFFF"/>
        </w:rPr>
        <w:t>), nous pourrons ainsi identifier et valider des cibles thérapeutiques transposables en clinique chez l’homme et évaluer l’efficacité de candidats potentiels.</w:t>
      </w:r>
    </w:p>
    <w:p w14:paraId="65EFA776" w14:textId="77777777" w:rsidR="00E77409" w:rsidRDefault="00E77409" w:rsidP="00E77409">
      <w:pPr>
        <w:pStyle w:val="Corps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heme="majorHAnsi" w:eastAsia="Times New Roman" w:hAnsiTheme="majorHAnsi"/>
          <w:color w:val="auto"/>
          <w:szCs w:val="24"/>
          <w:shd w:val="clear" w:color="auto" w:fill="FFFFFF"/>
        </w:rPr>
      </w:pPr>
    </w:p>
    <w:p w14:paraId="35F837FA" w14:textId="77777777" w:rsidR="00E77409" w:rsidRDefault="00E77409" w:rsidP="00E77409">
      <w:pPr>
        <w:pStyle w:val="Corpsdetexte2"/>
        <w:rPr>
          <w:b/>
          <w:color w:val="2F5496" w:themeColor="accent1" w:themeShade="BF"/>
          <w:sz w:val="28"/>
          <w:szCs w:val="28"/>
        </w:rPr>
      </w:pPr>
    </w:p>
    <w:p w14:paraId="0E88510F" w14:textId="77777777" w:rsidR="00E77409" w:rsidRDefault="00E77409" w:rsidP="00E77409">
      <w:pPr>
        <w:pStyle w:val="Corpsdetexte2"/>
        <w:rPr>
          <w:b/>
          <w:color w:val="2F5496" w:themeColor="accent1" w:themeShade="BF"/>
          <w:sz w:val="28"/>
          <w:szCs w:val="28"/>
        </w:rPr>
      </w:pPr>
      <w:r>
        <w:rPr>
          <w:b/>
          <w:color w:val="2F5496" w:themeColor="accent1" w:themeShade="BF"/>
          <w:sz w:val="28"/>
          <w:szCs w:val="28"/>
        </w:rPr>
        <w:t>Publications </w:t>
      </w:r>
      <w:proofErr w:type="spellStart"/>
      <w:r>
        <w:rPr>
          <w:b/>
          <w:color w:val="2F5496" w:themeColor="accent1" w:themeShade="BF"/>
          <w:sz w:val="28"/>
          <w:szCs w:val="28"/>
        </w:rPr>
        <w:t>representatives</w:t>
      </w:r>
      <w:proofErr w:type="spellEnd"/>
      <w:r>
        <w:rPr>
          <w:b/>
          <w:color w:val="2F5496" w:themeColor="accent1" w:themeShade="BF"/>
          <w:sz w:val="28"/>
          <w:szCs w:val="28"/>
        </w:rPr>
        <w:t xml:space="preserve"> </w:t>
      </w:r>
      <w:r>
        <w:rPr>
          <w:bCs/>
          <w:i/>
          <w:iCs/>
          <w:color w:val="2F5496" w:themeColor="accent1" w:themeShade="BF"/>
          <w:szCs w:val="24"/>
        </w:rPr>
        <w:t>(4 dernières années)</w:t>
      </w:r>
    </w:p>
    <w:p w14:paraId="1E9A5AC2" w14:textId="77777777" w:rsidR="00E77409" w:rsidRDefault="00E77409" w:rsidP="00E77409">
      <w:pPr>
        <w:pStyle w:val="NormalWeb"/>
        <w:numPr>
          <w:ilvl w:val="0"/>
          <w:numId w:val="1"/>
        </w:numPr>
        <w:spacing w:after="120" w:afterAutospacing="0"/>
        <w:ind w:left="426" w:hanging="357"/>
        <w:rPr>
          <w:sz w:val="20"/>
          <w:lang w:val="fr-FR"/>
        </w:rPr>
      </w:pPr>
      <w:r w:rsidRPr="001E46C9">
        <w:rPr>
          <w:sz w:val="20"/>
          <w:lang w:val="fr-FR"/>
        </w:rPr>
        <w:t>Le Moine, M</w:t>
      </w:r>
      <w:r w:rsidRPr="001E46C9">
        <w:rPr>
          <w:sz w:val="20"/>
          <w:szCs w:val="20"/>
          <w:lang w:val="fr-FR"/>
        </w:rPr>
        <w:t>.</w:t>
      </w:r>
      <w:r w:rsidRPr="001E46C9">
        <w:rPr>
          <w:sz w:val="20"/>
          <w:lang w:val="fr-FR"/>
        </w:rPr>
        <w:t>,</w:t>
      </w:r>
      <w:r w:rsidRPr="001E46C9">
        <w:rPr>
          <w:sz w:val="20"/>
          <w:szCs w:val="20"/>
          <w:lang w:val="fr-FR"/>
        </w:rPr>
        <w:t xml:space="preserve"> Azouz, A., </w:t>
      </w:r>
      <w:proofErr w:type="spellStart"/>
      <w:r w:rsidRPr="001E46C9">
        <w:rPr>
          <w:sz w:val="20"/>
          <w:szCs w:val="20"/>
          <w:lang w:val="fr-FR"/>
        </w:rPr>
        <w:t>Sánchez</w:t>
      </w:r>
      <w:proofErr w:type="spellEnd"/>
      <w:r w:rsidRPr="001E46C9">
        <w:rPr>
          <w:sz w:val="20"/>
          <w:szCs w:val="20"/>
          <w:lang w:val="fr-FR"/>
        </w:rPr>
        <w:t xml:space="preserve"> </w:t>
      </w:r>
      <w:proofErr w:type="spellStart"/>
      <w:r w:rsidRPr="001E46C9">
        <w:rPr>
          <w:sz w:val="20"/>
          <w:szCs w:val="20"/>
          <w:lang w:val="fr-FR"/>
        </w:rPr>
        <w:t>Sánchez</w:t>
      </w:r>
      <w:proofErr w:type="spellEnd"/>
      <w:r w:rsidRPr="001E46C9">
        <w:rPr>
          <w:sz w:val="20"/>
          <w:szCs w:val="20"/>
          <w:lang w:val="fr-FR"/>
        </w:rPr>
        <w:t xml:space="preserve">, G., </w:t>
      </w:r>
      <w:proofErr w:type="spellStart"/>
      <w:r w:rsidRPr="001E46C9">
        <w:rPr>
          <w:sz w:val="20"/>
          <w:szCs w:val="20"/>
          <w:lang w:val="fr-FR"/>
        </w:rPr>
        <w:t>Dejolier</w:t>
      </w:r>
      <w:proofErr w:type="spellEnd"/>
      <w:r w:rsidRPr="001E46C9">
        <w:rPr>
          <w:sz w:val="20"/>
          <w:szCs w:val="20"/>
          <w:lang w:val="fr-FR"/>
        </w:rPr>
        <w:t xml:space="preserve">, S., Nguyen, M., Thomas, S., </w:t>
      </w:r>
      <w:proofErr w:type="spellStart"/>
      <w:r w:rsidRPr="001E46C9">
        <w:rPr>
          <w:sz w:val="20"/>
          <w:szCs w:val="20"/>
          <w:lang w:val="fr-FR"/>
        </w:rPr>
        <w:t>Shala</w:t>
      </w:r>
      <w:proofErr w:type="spellEnd"/>
      <w:r w:rsidRPr="001E46C9">
        <w:rPr>
          <w:sz w:val="20"/>
          <w:szCs w:val="20"/>
          <w:lang w:val="fr-FR"/>
        </w:rPr>
        <w:t xml:space="preserve">, V., </w:t>
      </w:r>
      <w:proofErr w:type="spellStart"/>
      <w:r w:rsidRPr="001E46C9">
        <w:rPr>
          <w:sz w:val="20"/>
          <w:szCs w:val="20"/>
          <w:lang w:val="fr-FR"/>
        </w:rPr>
        <w:t>Dreidi</w:t>
      </w:r>
      <w:proofErr w:type="spellEnd"/>
      <w:r w:rsidRPr="001E46C9">
        <w:rPr>
          <w:sz w:val="20"/>
          <w:szCs w:val="20"/>
          <w:lang w:val="fr-FR"/>
        </w:rPr>
        <w:t xml:space="preserve">, H., Denanglaire, S., Libert, F., </w:t>
      </w:r>
      <w:proofErr w:type="spellStart"/>
      <w:r w:rsidRPr="001E46C9">
        <w:rPr>
          <w:sz w:val="20"/>
          <w:szCs w:val="20"/>
          <w:lang w:val="fr-FR"/>
        </w:rPr>
        <w:t>Vermijlen</w:t>
      </w:r>
      <w:proofErr w:type="spellEnd"/>
      <w:r w:rsidRPr="001E46C9">
        <w:rPr>
          <w:sz w:val="20"/>
          <w:szCs w:val="20"/>
          <w:lang w:val="fr-FR"/>
        </w:rPr>
        <w:t xml:space="preserve">, D., Andris, F., &amp; Goriely, S. </w:t>
      </w:r>
      <w:r w:rsidRPr="00373BB5">
        <w:rPr>
          <w:sz w:val="20"/>
          <w:szCs w:val="20"/>
          <w:lang w:val="fr-FR"/>
        </w:rPr>
        <w:t xml:space="preserve">(2023) </w:t>
      </w:r>
      <w:proofErr w:type="spellStart"/>
      <w:r w:rsidRPr="001E46C9">
        <w:rPr>
          <w:sz w:val="20"/>
          <w:szCs w:val="20"/>
          <w:lang w:val="fr-FR"/>
        </w:rPr>
        <w:t>Homeostatic</w:t>
      </w:r>
      <w:proofErr w:type="spellEnd"/>
      <w:r w:rsidRPr="001E46C9">
        <w:rPr>
          <w:sz w:val="20"/>
          <w:szCs w:val="20"/>
          <w:lang w:val="fr-FR"/>
        </w:rPr>
        <w:t xml:space="preserve"> PD-1 </w:t>
      </w:r>
      <w:proofErr w:type="spellStart"/>
      <w:r w:rsidRPr="001E46C9">
        <w:rPr>
          <w:sz w:val="20"/>
          <w:szCs w:val="20"/>
          <w:lang w:val="fr-FR"/>
        </w:rPr>
        <w:t>signaling</w:t>
      </w:r>
      <w:proofErr w:type="spellEnd"/>
      <w:r w:rsidRPr="001E46C9">
        <w:rPr>
          <w:sz w:val="20"/>
          <w:szCs w:val="20"/>
          <w:lang w:val="fr-FR"/>
        </w:rPr>
        <w:t xml:space="preserve"> </w:t>
      </w:r>
      <w:proofErr w:type="spellStart"/>
      <w:r w:rsidRPr="001E46C9">
        <w:rPr>
          <w:sz w:val="20"/>
          <w:szCs w:val="20"/>
          <w:lang w:val="fr-FR"/>
        </w:rPr>
        <w:t>restrains</w:t>
      </w:r>
      <w:proofErr w:type="spellEnd"/>
      <w:r w:rsidRPr="001E46C9">
        <w:rPr>
          <w:sz w:val="20"/>
          <w:szCs w:val="20"/>
          <w:lang w:val="fr-FR"/>
        </w:rPr>
        <w:t xml:space="preserve"> EOMES-</w:t>
      </w:r>
      <w:proofErr w:type="spellStart"/>
      <w:r w:rsidRPr="001E46C9">
        <w:rPr>
          <w:sz w:val="20"/>
          <w:szCs w:val="20"/>
          <w:lang w:val="fr-FR"/>
        </w:rPr>
        <w:t>dependent</w:t>
      </w:r>
      <w:proofErr w:type="spellEnd"/>
      <w:r w:rsidRPr="001E46C9">
        <w:rPr>
          <w:sz w:val="20"/>
          <w:szCs w:val="20"/>
          <w:lang w:val="fr-FR"/>
        </w:rPr>
        <w:t xml:space="preserve"> </w:t>
      </w:r>
      <w:proofErr w:type="spellStart"/>
      <w:r w:rsidRPr="001E46C9">
        <w:rPr>
          <w:sz w:val="20"/>
          <w:szCs w:val="20"/>
          <w:lang w:val="fr-FR"/>
        </w:rPr>
        <w:t>oligoclonal</w:t>
      </w:r>
      <w:proofErr w:type="spellEnd"/>
      <w:r w:rsidRPr="001E46C9">
        <w:rPr>
          <w:sz w:val="20"/>
          <w:szCs w:val="20"/>
          <w:lang w:val="fr-FR"/>
        </w:rPr>
        <w:t xml:space="preserve"> expansion of </w:t>
      </w:r>
      <w:proofErr w:type="spellStart"/>
      <w:r w:rsidRPr="001E46C9">
        <w:rPr>
          <w:sz w:val="20"/>
          <w:szCs w:val="20"/>
          <w:lang w:val="fr-FR"/>
        </w:rPr>
        <w:t>liver-resident</w:t>
      </w:r>
      <w:proofErr w:type="spellEnd"/>
      <w:r w:rsidRPr="001E46C9">
        <w:rPr>
          <w:sz w:val="20"/>
          <w:szCs w:val="20"/>
          <w:lang w:val="fr-FR"/>
        </w:rPr>
        <w:t xml:space="preserve"> CD8 T </w:t>
      </w:r>
      <w:proofErr w:type="spellStart"/>
      <w:r w:rsidRPr="001E46C9">
        <w:rPr>
          <w:sz w:val="20"/>
          <w:szCs w:val="20"/>
          <w:lang w:val="fr-FR"/>
        </w:rPr>
        <w:t>cells</w:t>
      </w:r>
      <w:proofErr w:type="spellEnd"/>
      <w:r w:rsidRPr="001E46C9">
        <w:rPr>
          <w:sz w:val="20"/>
          <w:szCs w:val="20"/>
          <w:lang w:val="fr-FR"/>
        </w:rPr>
        <w:t xml:space="preserve">. </w:t>
      </w:r>
      <w:r w:rsidRPr="001E46C9">
        <w:rPr>
          <w:sz w:val="20"/>
          <w:szCs w:val="20"/>
        </w:rPr>
        <w:t xml:space="preserve">Cell Rep. </w:t>
      </w:r>
      <w:r w:rsidRPr="001E46C9">
        <w:rPr>
          <w:sz w:val="20"/>
          <w:lang w:val="fr-FR"/>
        </w:rPr>
        <w:t>42, (8), 112876.</w:t>
      </w:r>
    </w:p>
    <w:p w14:paraId="52E7A53D" w14:textId="77777777" w:rsidR="00E77409" w:rsidRDefault="00E77409" w:rsidP="00E77409">
      <w:pPr>
        <w:pStyle w:val="NormalWeb"/>
        <w:numPr>
          <w:ilvl w:val="0"/>
          <w:numId w:val="1"/>
        </w:numPr>
        <w:spacing w:after="120" w:afterAutospacing="0"/>
        <w:ind w:left="426" w:hanging="357"/>
        <w:rPr>
          <w:sz w:val="20"/>
        </w:rPr>
      </w:pPr>
      <w:proofErr w:type="spellStart"/>
      <w:r w:rsidRPr="001E46C9">
        <w:rPr>
          <w:sz w:val="20"/>
        </w:rPr>
        <w:t>Assabban</w:t>
      </w:r>
      <w:proofErr w:type="spellEnd"/>
      <w:r w:rsidRPr="001E46C9">
        <w:rPr>
          <w:sz w:val="20"/>
        </w:rPr>
        <w:t xml:space="preserve"> A, </w:t>
      </w:r>
      <w:proofErr w:type="gramStart"/>
      <w:r w:rsidRPr="001E46C9">
        <w:rPr>
          <w:sz w:val="20"/>
        </w:rPr>
        <w:t>et al.(</w:t>
      </w:r>
      <w:proofErr w:type="gramEnd"/>
      <w:r w:rsidRPr="001E46C9">
        <w:rPr>
          <w:sz w:val="20"/>
        </w:rPr>
        <w:t xml:space="preserve">2021) </w:t>
      </w:r>
      <w:proofErr w:type="spellStart"/>
      <w:r w:rsidRPr="001E46C9">
        <w:rPr>
          <w:sz w:val="20"/>
        </w:rPr>
        <w:t>Tristetrapolin</w:t>
      </w:r>
      <w:proofErr w:type="spellEnd"/>
      <w:r w:rsidRPr="001E46C9">
        <w:rPr>
          <w:sz w:val="20"/>
        </w:rPr>
        <w:t xml:space="preserve"> expression by keratinocytes protects against skin carcinogenesis. JCI Insight 6:140669. </w:t>
      </w:r>
      <w:proofErr w:type="spellStart"/>
      <w:r w:rsidRPr="001E46C9">
        <w:rPr>
          <w:sz w:val="20"/>
        </w:rPr>
        <w:t>doi</w:t>
      </w:r>
      <w:proofErr w:type="spellEnd"/>
      <w:r w:rsidRPr="001E46C9">
        <w:rPr>
          <w:sz w:val="20"/>
        </w:rPr>
        <w:t>: 10.1172/jci.insight.140669.</w:t>
      </w:r>
    </w:p>
    <w:p w14:paraId="1BBAEDBA" w14:textId="77777777" w:rsidR="00E77409" w:rsidRDefault="00E77409" w:rsidP="00E77409">
      <w:pPr>
        <w:pStyle w:val="NormalWeb"/>
        <w:numPr>
          <w:ilvl w:val="0"/>
          <w:numId w:val="1"/>
        </w:numPr>
        <w:spacing w:after="120" w:afterAutospacing="0"/>
        <w:ind w:left="426" w:hanging="357"/>
        <w:rPr>
          <w:sz w:val="20"/>
        </w:rPr>
      </w:pPr>
      <w:r w:rsidRPr="001E46C9">
        <w:rPr>
          <w:sz w:val="20"/>
        </w:rPr>
        <w:t xml:space="preserve">La C, et al. The RNA-binding protein </w:t>
      </w:r>
      <w:proofErr w:type="spellStart"/>
      <w:r w:rsidRPr="001E46C9">
        <w:rPr>
          <w:sz w:val="20"/>
        </w:rPr>
        <w:t>tristetraprolin</w:t>
      </w:r>
      <w:proofErr w:type="spellEnd"/>
      <w:r w:rsidRPr="001E46C9">
        <w:rPr>
          <w:sz w:val="20"/>
        </w:rPr>
        <w:t xml:space="preserve"> regulates RALDH2 expression by intestinal dendritic cells and controls local Treg homeostasis (2021) Mucosal Immunol. 14:80-91. </w:t>
      </w:r>
      <w:proofErr w:type="spellStart"/>
      <w:r w:rsidRPr="001E46C9">
        <w:rPr>
          <w:sz w:val="20"/>
        </w:rPr>
        <w:t>doi</w:t>
      </w:r>
      <w:proofErr w:type="spellEnd"/>
      <w:r w:rsidRPr="001E46C9">
        <w:rPr>
          <w:sz w:val="20"/>
        </w:rPr>
        <w:t xml:space="preserve">: 10.1038/s41385-020-0302-x. </w:t>
      </w:r>
    </w:p>
    <w:p w14:paraId="6D3EC6DE" w14:textId="77777777" w:rsidR="00E77409" w:rsidRDefault="00E77409" w:rsidP="00E77409">
      <w:pPr>
        <w:pStyle w:val="NormalWeb"/>
        <w:numPr>
          <w:ilvl w:val="0"/>
          <w:numId w:val="1"/>
        </w:numPr>
        <w:spacing w:after="120" w:afterAutospacing="0"/>
        <w:ind w:left="426" w:hanging="357"/>
        <w:rPr>
          <w:sz w:val="20"/>
        </w:rPr>
      </w:pPr>
      <w:proofErr w:type="spellStart"/>
      <w:r w:rsidRPr="001E46C9">
        <w:rPr>
          <w:sz w:val="20"/>
        </w:rPr>
        <w:t>Alaluf</w:t>
      </w:r>
      <w:proofErr w:type="spellEnd"/>
      <w:r w:rsidRPr="001E46C9">
        <w:rPr>
          <w:sz w:val="20"/>
        </w:rPr>
        <w:t xml:space="preserve"> E, </w:t>
      </w:r>
      <w:proofErr w:type="spellStart"/>
      <w:r w:rsidRPr="001E46C9">
        <w:rPr>
          <w:sz w:val="20"/>
        </w:rPr>
        <w:t>Vokaer</w:t>
      </w:r>
      <w:proofErr w:type="spellEnd"/>
      <w:r w:rsidRPr="001E46C9">
        <w:rPr>
          <w:sz w:val="20"/>
        </w:rPr>
        <w:t xml:space="preserve"> B, Detavernier A, </w:t>
      </w:r>
      <w:proofErr w:type="spellStart"/>
      <w:r w:rsidRPr="001E46C9">
        <w:rPr>
          <w:sz w:val="20"/>
        </w:rPr>
        <w:t>Azouz</w:t>
      </w:r>
      <w:proofErr w:type="spellEnd"/>
      <w:r w:rsidRPr="001E46C9">
        <w:rPr>
          <w:sz w:val="20"/>
        </w:rPr>
        <w:t xml:space="preserve"> A, Splittgerber M, Carrette A, Boon L, Libert F, Soares M, Le Moine A, </w:t>
      </w:r>
      <w:proofErr w:type="spellStart"/>
      <w:r w:rsidRPr="001E46C9">
        <w:rPr>
          <w:sz w:val="20"/>
        </w:rPr>
        <w:t>Goriely</w:t>
      </w:r>
      <w:proofErr w:type="spellEnd"/>
      <w:r w:rsidRPr="001E46C9">
        <w:rPr>
          <w:sz w:val="20"/>
        </w:rPr>
        <w:t xml:space="preserve"> S. (2020) Heme oxygenase-1 orchestrates the immunosuppressive program of tumor-associated macrophages. JCI Insight. </w:t>
      </w:r>
      <w:proofErr w:type="gramStart"/>
      <w:r w:rsidRPr="001E46C9">
        <w:rPr>
          <w:sz w:val="20"/>
        </w:rPr>
        <w:t>5:e</w:t>
      </w:r>
      <w:proofErr w:type="gramEnd"/>
      <w:r w:rsidRPr="001E46C9">
        <w:rPr>
          <w:sz w:val="20"/>
        </w:rPr>
        <w:t xml:space="preserve">133929. </w:t>
      </w:r>
      <w:proofErr w:type="spellStart"/>
      <w:r w:rsidRPr="001E46C9">
        <w:rPr>
          <w:sz w:val="20"/>
        </w:rPr>
        <w:t>doi</w:t>
      </w:r>
      <w:proofErr w:type="spellEnd"/>
      <w:r w:rsidRPr="001E46C9">
        <w:rPr>
          <w:sz w:val="20"/>
        </w:rPr>
        <w:t>: 10.1172/jci.insight.133929.</w:t>
      </w:r>
    </w:p>
    <w:p w14:paraId="1C602BBC" w14:textId="77777777" w:rsidR="00E77409" w:rsidRDefault="00E77409" w:rsidP="00E77409">
      <w:pPr>
        <w:pStyle w:val="NormalWeb"/>
        <w:numPr>
          <w:ilvl w:val="0"/>
          <w:numId w:val="1"/>
        </w:numPr>
        <w:spacing w:after="120" w:afterAutospacing="0"/>
        <w:ind w:left="426" w:hanging="357"/>
        <w:rPr>
          <w:sz w:val="20"/>
        </w:rPr>
      </w:pPr>
      <w:r w:rsidRPr="001E46C9">
        <w:rPr>
          <w:sz w:val="20"/>
        </w:rPr>
        <w:lastRenderedPageBreak/>
        <w:t xml:space="preserve">Lepez, A. </w:t>
      </w:r>
      <w:proofErr w:type="spellStart"/>
      <w:r w:rsidRPr="001E46C9">
        <w:rPr>
          <w:sz w:val="20"/>
        </w:rPr>
        <w:t>Pirnay</w:t>
      </w:r>
      <w:proofErr w:type="spellEnd"/>
      <w:r w:rsidRPr="001E46C9">
        <w:rPr>
          <w:sz w:val="20"/>
        </w:rPr>
        <w:t xml:space="preserve">, T., Denanglaire, S., Perez-Morga, D., Vermeersch, M., Leo, O. and Andris, F. (2020). Long-term T cell fitness and proliferation is driven by AMPK-dependent regulation of reactive oxygen species. Sci. Rep. 10, 21673 </w:t>
      </w:r>
    </w:p>
    <w:p w14:paraId="307A9328" w14:textId="77777777" w:rsidR="00E77409" w:rsidRDefault="00E77409" w:rsidP="00E77409">
      <w:pPr>
        <w:pStyle w:val="NormalWeb"/>
        <w:numPr>
          <w:ilvl w:val="0"/>
          <w:numId w:val="1"/>
        </w:numPr>
        <w:spacing w:after="120" w:afterAutospacing="0"/>
        <w:ind w:left="426" w:hanging="357"/>
        <w:rPr>
          <w:sz w:val="20"/>
        </w:rPr>
      </w:pPr>
      <w:proofErr w:type="spellStart"/>
      <w:r w:rsidRPr="001E46C9">
        <w:rPr>
          <w:sz w:val="20"/>
        </w:rPr>
        <w:t>Istaces</w:t>
      </w:r>
      <w:proofErr w:type="spellEnd"/>
      <w:r w:rsidRPr="001E46C9">
        <w:rPr>
          <w:sz w:val="20"/>
        </w:rPr>
        <w:t xml:space="preserve"> N, Splittgerber M, Lima Silva V, Nguyen M, Thomas S, Le A, Achouri Y, Calonne E, Defrance M, Fuks F, </w:t>
      </w:r>
      <w:proofErr w:type="spellStart"/>
      <w:r w:rsidRPr="001E46C9">
        <w:rPr>
          <w:sz w:val="20"/>
        </w:rPr>
        <w:t>Goriely</w:t>
      </w:r>
      <w:proofErr w:type="spellEnd"/>
      <w:r w:rsidRPr="001E46C9">
        <w:rPr>
          <w:sz w:val="20"/>
        </w:rPr>
        <w:t xml:space="preserve"> S, </w:t>
      </w:r>
      <w:proofErr w:type="spellStart"/>
      <w:r w:rsidRPr="001E46C9">
        <w:rPr>
          <w:sz w:val="20"/>
        </w:rPr>
        <w:t>Azouz</w:t>
      </w:r>
      <w:proofErr w:type="spellEnd"/>
      <w:r w:rsidRPr="001E46C9">
        <w:rPr>
          <w:sz w:val="20"/>
        </w:rPr>
        <w:t xml:space="preserve"> A. (2019) </w:t>
      </w:r>
      <w:hyperlink r:id="rId9" w:history="1">
        <w:r w:rsidRPr="001E46C9">
          <w:rPr>
            <w:rStyle w:val="Lienhypertexte"/>
            <w:rFonts w:ascii="Times New Roman" w:hAnsi="Times New Roman" w:cs="Times New Roman"/>
            <w:u w:val="none"/>
          </w:rPr>
          <w:t>EOMES interacts with RUNX3 and BRG1 to promote innate memory cell formation through epigenetic reprogramming.</w:t>
        </w:r>
      </w:hyperlink>
      <w:r w:rsidRPr="001E46C9">
        <w:rPr>
          <w:sz w:val="20"/>
        </w:rPr>
        <w:t xml:space="preserve"> Nat Commun. </w:t>
      </w:r>
      <w:proofErr w:type="gramStart"/>
      <w:r w:rsidRPr="001E46C9">
        <w:rPr>
          <w:sz w:val="20"/>
        </w:rPr>
        <w:t>10 :</w:t>
      </w:r>
      <w:proofErr w:type="gramEnd"/>
      <w:r w:rsidRPr="001E46C9">
        <w:rPr>
          <w:sz w:val="20"/>
        </w:rPr>
        <w:t xml:space="preserve"> 3306. </w:t>
      </w:r>
    </w:p>
    <w:p w14:paraId="696C206C" w14:textId="77777777" w:rsidR="00E77409" w:rsidRDefault="00E77409" w:rsidP="00E77409">
      <w:pPr>
        <w:pStyle w:val="NormalWeb"/>
        <w:numPr>
          <w:ilvl w:val="0"/>
          <w:numId w:val="1"/>
        </w:numPr>
        <w:spacing w:after="120" w:afterAutospacing="0"/>
        <w:ind w:left="426" w:hanging="357"/>
        <w:rPr>
          <w:sz w:val="20"/>
        </w:rPr>
      </w:pPr>
      <w:r w:rsidRPr="001E46C9">
        <w:rPr>
          <w:sz w:val="20"/>
        </w:rPr>
        <w:t xml:space="preserve">Detavernier A, </w:t>
      </w:r>
      <w:proofErr w:type="spellStart"/>
      <w:r w:rsidRPr="001E46C9">
        <w:rPr>
          <w:sz w:val="20"/>
        </w:rPr>
        <w:t>Azouz</w:t>
      </w:r>
      <w:proofErr w:type="spellEnd"/>
      <w:r w:rsidRPr="001E46C9">
        <w:rPr>
          <w:sz w:val="20"/>
        </w:rPr>
        <w:t xml:space="preserve"> A, Shehade H, Splittgerber M, Van Maele L, Nguyen M, Thomas S, Achouri Y, Svec D, Calonne E, Fuks F, Oldenhove G, </w:t>
      </w:r>
      <w:proofErr w:type="spellStart"/>
      <w:r w:rsidRPr="001E46C9">
        <w:rPr>
          <w:sz w:val="20"/>
        </w:rPr>
        <w:t>Goriely</w:t>
      </w:r>
      <w:proofErr w:type="spellEnd"/>
      <w:r w:rsidRPr="001E46C9">
        <w:rPr>
          <w:sz w:val="20"/>
        </w:rPr>
        <w:t xml:space="preserve"> S. (2019) </w:t>
      </w:r>
      <w:hyperlink r:id="rId10" w:history="1">
        <w:r w:rsidRPr="001E46C9">
          <w:rPr>
            <w:rStyle w:val="Lienhypertexte"/>
            <w:rFonts w:ascii="Times New Roman" w:hAnsi="Times New Roman" w:cs="Times New Roman"/>
            <w:u w:val="none"/>
          </w:rPr>
          <w:t>Monocytes undergo multi-step differentiation in mice during oral infection by Toxoplasma gondii.</w:t>
        </w:r>
      </w:hyperlink>
      <w:r w:rsidRPr="001E46C9">
        <w:rPr>
          <w:sz w:val="20"/>
        </w:rPr>
        <w:t xml:space="preserve"> Commun Biol. 2 : 472. </w:t>
      </w:r>
    </w:p>
    <w:p w14:paraId="7424C698" w14:textId="77777777" w:rsidR="00E77409" w:rsidRDefault="00E77409" w:rsidP="00E77409">
      <w:pPr>
        <w:pStyle w:val="NormalWeb"/>
        <w:numPr>
          <w:ilvl w:val="0"/>
          <w:numId w:val="1"/>
        </w:numPr>
        <w:spacing w:after="120" w:afterAutospacing="0"/>
        <w:ind w:left="426" w:hanging="357"/>
        <w:rPr>
          <w:sz w:val="20"/>
        </w:rPr>
      </w:pPr>
      <w:r w:rsidRPr="001E46C9">
        <w:rPr>
          <w:sz w:val="20"/>
        </w:rPr>
        <w:t xml:space="preserve">Oldenhove G, </w:t>
      </w:r>
      <w:proofErr w:type="spellStart"/>
      <w:r w:rsidRPr="001E46C9">
        <w:rPr>
          <w:sz w:val="20"/>
        </w:rPr>
        <w:t>Boucquey</w:t>
      </w:r>
      <w:proofErr w:type="spellEnd"/>
      <w:r w:rsidRPr="001E46C9">
        <w:rPr>
          <w:sz w:val="20"/>
        </w:rPr>
        <w:t xml:space="preserve"> E, Taquin A, Acolty V, Bonetti L, </w:t>
      </w:r>
      <w:proofErr w:type="spellStart"/>
      <w:r w:rsidRPr="001E46C9">
        <w:rPr>
          <w:sz w:val="20"/>
        </w:rPr>
        <w:t>Ryffel</w:t>
      </w:r>
      <w:proofErr w:type="spellEnd"/>
      <w:r w:rsidRPr="001E46C9">
        <w:rPr>
          <w:sz w:val="20"/>
        </w:rPr>
        <w:t xml:space="preserve"> B, Le Bert M, Englebert K, Boon L, Moser M. (2018)  </w:t>
      </w:r>
      <w:hyperlink r:id="rId11" w:history="1">
        <w:r w:rsidRPr="001E46C9">
          <w:rPr>
            <w:rStyle w:val="Lienhypertexte"/>
            <w:rFonts w:ascii="Times New Roman" w:hAnsi="Times New Roman" w:cs="Times New Roman"/>
            <w:u w:val="none"/>
          </w:rPr>
          <w:t>PD-1 Is Involved in the Dysregulation of Type 2 Innate Lymphoid Cells in a Murine Model of Obesity.</w:t>
        </w:r>
      </w:hyperlink>
      <w:r w:rsidRPr="001E46C9">
        <w:rPr>
          <w:sz w:val="20"/>
        </w:rPr>
        <w:t xml:space="preserve"> Cell Rep.25:2053-2060.</w:t>
      </w:r>
    </w:p>
    <w:p w14:paraId="565A3B7E" w14:textId="6C69F784" w:rsidR="00B106EB" w:rsidRDefault="00B106EB" w:rsidP="00E77409">
      <w:pPr>
        <w:pStyle w:val="NormalWeb"/>
        <w:numPr>
          <w:ilvl w:val="0"/>
          <w:numId w:val="1"/>
        </w:numPr>
        <w:spacing w:after="120" w:afterAutospacing="0"/>
        <w:ind w:left="426" w:hanging="357"/>
        <w:rPr>
          <w:sz w:val="20"/>
        </w:rPr>
      </w:pPr>
      <w:r w:rsidRPr="00B106EB">
        <w:rPr>
          <w:sz w:val="20"/>
        </w:rPr>
        <w:t xml:space="preserve">Kevin Englebert, Anaelle Taquin, Abdulkader </w:t>
      </w:r>
      <w:proofErr w:type="spellStart"/>
      <w:r w:rsidRPr="00B106EB">
        <w:rPr>
          <w:sz w:val="20"/>
        </w:rPr>
        <w:t>Azouz</w:t>
      </w:r>
      <w:proofErr w:type="spellEnd"/>
      <w:r w:rsidRPr="00B106EB">
        <w:rPr>
          <w:sz w:val="20"/>
        </w:rPr>
        <w:t xml:space="preserve">, Valérie Acolty, Sylvie Vande Velde, Marie Vanhollebeke, Hadrien Innes, Louis Boon, Tibor Keler, Oberdan Leo, Stanislas </w:t>
      </w:r>
      <w:proofErr w:type="spellStart"/>
      <w:r w:rsidRPr="00B106EB">
        <w:rPr>
          <w:sz w:val="20"/>
        </w:rPr>
        <w:t>Goriely</w:t>
      </w:r>
      <w:proofErr w:type="spellEnd"/>
      <w:r w:rsidRPr="00B106EB">
        <w:rPr>
          <w:sz w:val="20"/>
        </w:rPr>
        <w:t>, Muriel Moser, Guillaume Oldenhove. (2024) The CD27/CD70 pathway negatively regulates visceral adipose tissue-resident Th2 cells and controls metabolic homeostasis. Cell Rep 43(3):113824</w:t>
      </w:r>
    </w:p>
    <w:p w14:paraId="41E39C9F" w14:textId="77777777" w:rsidR="00E77409" w:rsidRDefault="00E77409" w:rsidP="00E77409">
      <w:pPr>
        <w:pStyle w:val="Corpsdetexte2"/>
        <w:ind w:left="426"/>
        <w:rPr>
          <w:sz w:val="20"/>
          <w:lang w:val="en-US"/>
        </w:rPr>
      </w:pPr>
    </w:p>
    <w:p w14:paraId="53FC4CB6" w14:textId="77777777" w:rsidR="00516805" w:rsidRPr="00B106EB" w:rsidRDefault="00516805">
      <w:pPr>
        <w:rPr>
          <w:lang w:val="en-US"/>
        </w:rPr>
      </w:pPr>
    </w:p>
    <w:sectPr w:rsidR="00516805" w:rsidRPr="00B10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Times New Roman Italic">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11A11"/>
    <w:multiLevelType w:val="multilevel"/>
    <w:tmpl w:val="4B24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4D41D7"/>
    <w:multiLevelType w:val="multilevel"/>
    <w:tmpl w:val="4B240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6897944">
    <w:abstractNumId w:val="1"/>
  </w:num>
  <w:num w:numId="2" w16cid:durableId="780690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09"/>
    <w:rsid w:val="00063C40"/>
    <w:rsid w:val="000C27D0"/>
    <w:rsid w:val="00516805"/>
    <w:rsid w:val="00B106EB"/>
    <w:rsid w:val="00C45A9E"/>
    <w:rsid w:val="00E77409"/>
    <w:rsid w:val="00FC204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7CF6"/>
  <w15:chartTrackingRefBased/>
  <w15:docId w15:val="{A3CCF61E-FA28-4454-8D71-A6ADF2BB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09"/>
    <w:pPr>
      <w:spacing w:after="0" w:line="240" w:lineRule="auto"/>
    </w:pPr>
    <w:rPr>
      <w:rFonts w:ascii="Times New Roman" w:eastAsia="Times New Roman" w:hAnsi="Times New Roman" w:cs="Times New Roman"/>
      <w:sz w:val="24"/>
      <w:szCs w:val="24"/>
      <w:lang w:val="fr-FR" w:eastAsia="fr-FR"/>
    </w:rPr>
  </w:style>
  <w:style w:type="paragraph" w:styleId="Titre3">
    <w:name w:val="heading 3"/>
    <w:basedOn w:val="Normal"/>
    <w:next w:val="Normal"/>
    <w:link w:val="Titre3Car"/>
    <w:uiPriority w:val="9"/>
    <w:semiHidden/>
    <w:unhideWhenUsed/>
    <w:qFormat/>
    <w:rsid w:val="00E77409"/>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E77409"/>
    <w:rPr>
      <w:rFonts w:ascii="Times" w:hAnsi="Times" w:cs="Times" w:hint="default"/>
      <w:noProof w:val="0"/>
      <w:color w:val="000000"/>
      <w:sz w:val="20"/>
      <w:u w:val="single"/>
      <w:lang w:val="en-US"/>
    </w:rPr>
  </w:style>
  <w:style w:type="paragraph" w:customStyle="1" w:styleId="sub">
    <w:name w:val="sub"/>
    <w:basedOn w:val="Normal"/>
    <w:rsid w:val="00E77409"/>
    <w:pPr>
      <w:tabs>
        <w:tab w:val="left" w:pos="1440"/>
        <w:tab w:val="left" w:pos="2880"/>
        <w:tab w:val="left" w:pos="4320"/>
      </w:tabs>
      <w:overflowPunct w:val="0"/>
      <w:autoSpaceDE w:val="0"/>
      <w:autoSpaceDN w:val="0"/>
      <w:adjustRightInd w:val="0"/>
      <w:spacing w:before="20" w:after="58" w:line="278" w:lineRule="atLeast"/>
      <w:jc w:val="both"/>
    </w:pPr>
    <w:rPr>
      <w:rFonts w:ascii="Times" w:hAnsi="Times"/>
      <w:b/>
      <w:i/>
      <w:color w:val="000000"/>
      <w:szCs w:val="20"/>
      <w:lang w:val="en-US"/>
    </w:rPr>
  </w:style>
  <w:style w:type="paragraph" w:customStyle="1" w:styleId="Titre33">
    <w:name w:val="Titre 33"/>
    <w:basedOn w:val="Titre3"/>
    <w:link w:val="Titre3Char"/>
    <w:rsid w:val="00E77409"/>
    <w:pPr>
      <w:overflowPunct w:val="0"/>
      <w:autoSpaceDE w:val="0"/>
      <w:autoSpaceDN w:val="0"/>
      <w:adjustRightInd w:val="0"/>
      <w:spacing w:before="360" w:after="240"/>
      <w:jc w:val="both"/>
    </w:pPr>
    <w:rPr>
      <w:b/>
      <w:sz w:val="28"/>
      <w:lang w:val="en-US"/>
    </w:rPr>
  </w:style>
  <w:style w:type="paragraph" w:customStyle="1" w:styleId="Titre13">
    <w:name w:val="Titre 13"/>
    <w:basedOn w:val="Sous-titre"/>
    <w:rsid w:val="00E77409"/>
    <w:pPr>
      <w:numPr>
        <w:ilvl w:val="0"/>
      </w:numPr>
      <w:shd w:val="pct20" w:color="auto" w:fill="auto"/>
      <w:overflowPunct w:val="0"/>
      <w:autoSpaceDE w:val="0"/>
      <w:autoSpaceDN w:val="0"/>
      <w:adjustRightInd w:val="0"/>
      <w:spacing w:before="240" w:after="240"/>
    </w:pPr>
    <w:rPr>
      <w:rFonts w:ascii="Times New Roman" w:eastAsia="Times New Roman" w:hAnsi="Times New Roman" w:cs="Times New Roman"/>
      <w:b/>
      <w:color w:val="auto"/>
      <w:spacing w:val="0"/>
      <w:sz w:val="40"/>
      <w:szCs w:val="20"/>
    </w:rPr>
  </w:style>
  <w:style w:type="character" w:customStyle="1" w:styleId="Titre3Char">
    <w:name w:val="Titre 3 Char"/>
    <w:basedOn w:val="Titre3Car"/>
    <w:link w:val="Titre33"/>
    <w:rsid w:val="00E77409"/>
    <w:rPr>
      <w:rFonts w:asciiTheme="majorHAnsi" w:eastAsiaTheme="majorEastAsia" w:hAnsiTheme="majorHAnsi" w:cstheme="majorBidi"/>
      <w:b/>
      <w:color w:val="1F3763" w:themeColor="accent1" w:themeShade="7F"/>
      <w:sz w:val="28"/>
      <w:szCs w:val="24"/>
      <w:lang w:val="en-US" w:eastAsia="fr-FR"/>
    </w:rPr>
  </w:style>
  <w:style w:type="paragraph" w:styleId="NormalWeb">
    <w:name w:val="Normal (Web)"/>
    <w:basedOn w:val="Normal"/>
    <w:uiPriority w:val="99"/>
    <w:rsid w:val="00E77409"/>
    <w:pPr>
      <w:spacing w:before="100" w:beforeAutospacing="1" w:after="100" w:afterAutospacing="1"/>
    </w:pPr>
    <w:rPr>
      <w:lang w:val="en-US" w:eastAsia="en-US"/>
    </w:rPr>
  </w:style>
  <w:style w:type="paragraph" w:customStyle="1" w:styleId="CorpsA">
    <w:name w:val="Corps A"/>
    <w:rsid w:val="00E77409"/>
    <w:pPr>
      <w:spacing w:after="0" w:line="240" w:lineRule="auto"/>
    </w:pPr>
    <w:rPr>
      <w:rFonts w:ascii="Helvetica" w:eastAsia="ヒラギノ角ゴ Pro W3" w:hAnsi="Helvetica" w:cs="Times New Roman"/>
      <w:color w:val="000000"/>
      <w:sz w:val="24"/>
      <w:szCs w:val="20"/>
      <w:lang w:val="fr-FR" w:eastAsia="fr-BE"/>
    </w:rPr>
  </w:style>
  <w:style w:type="paragraph" w:customStyle="1" w:styleId="Corpsdetexte2">
    <w:name w:val="Corps de texte2"/>
    <w:rsid w:val="00E77409"/>
    <w:pPr>
      <w:spacing w:after="120" w:line="240" w:lineRule="auto"/>
      <w:jc w:val="both"/>
    </w:pPr>
    <w:rPr>
      <w:rFonts w:ascii="Times New Roman" w:eastAsia="ヒラギノ角ゴ Pro W3" w:hAnsi="Times New Roman" w:cs="Times New Roman"/>
      <w:color w:val="000000"/>
      <w:sz w:val="24"/>
      <w:szCs w:val="20"/>
      <w:lang w:val="fr-FR" w:eastAsia="fr-BE"/>
    </w:rPr>
  </w:style>
  <w:style w:type="character" w:customStyle="1" w:styleId="Titre3Car">
    <w:name w:val="Titre 3 Car"/>
    <w:basedOn w:val="Policepardfaut"/>
    <w:link w:val="Titre3"/>
    <w:uiPriority w:val="9"/>
    <w:semiHidden/>
    <w:rsid w:val="00E77409"/>
    <w:rPr>
      <w:rFonts w:asciiTheme="majorHAnsi" w:eastAsiaTheme="majorEastAsia" w:hAnsiTheme="majorHAnsi" w:cstheme="majorBidi"/>
      <w:color w:val="1F3763" w:themeColor="accent1" w:themeShade="7F"/>
      <w:sz w:val="24"/>
      <w:szCs w:val="24"/>
      <w:lang w:val="fr-FR" w:eastAsia="fr-FR"/>
    </w:rPr>
  </w:style>
  <w:style w:type="paragraph" w:styleId="Sous-titre">
    <w:name w:val="Subtitle"/>
    <w:basedOn w:val="Normal"/>
    <w:next w:val="Normal"/>
    <w:link w:val="Sous-titreCar"/>
    <w:uiPriority w:val="11"/>
    <w:qFormat/>
    <w:rsid w:val="00E774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E77409"/>
    <w:rPr>
      <w:rFonts w:eastAsiaTheme="minorEastAsia"/>
      <w:color w:val="5A5A5A" w:themeColor="text1" w:themeTint="A5"/>
      <w:spacing w:val="15"/>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llaume.oldenhove@ulb.ac.b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30463004" TargetMode="External"/><Relationship Id="rId5" Type="http://schemas.openxmlformats.org/officeDocument/2006/relationships/styles" Target="styles.xml"/><Relationship Id="rId10" Type="http://schemas.openxmlformats.org/officeDocument/2006/relationships/hyperlink" Target="https://www.ncbi.nlm.nih.gov/pubmed/31872076" TargetMode="External"/><Relationship Id="rId4" Type="http://schemas.openxmlformats.org/officeDocument/2006/relationships/numbering" Target="numbering.xml"/><Relationship Id="rId9" Type="http://schemas.openxmlformats.org/officeDocument/2006/relationships/hyperlink" Target="https://www.ncbi.nlm.nih.gov/pubmed/3134115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87008b-5a27-441d-80f4-dd6e3fc9073b">
      <Terms xmlns="http://schemas.microsoft.com/office/infopath/2007/PartnerControls"/>
    </lcf76f155ced4ddcb4097134ff3c332f>
    <TaxCatchAll xmlns="9d013fd1-5e0a-45de-81e5-1f752d8aa8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733EF7F257384D90B9C8981F701B9C" ma:contentTypeVersion="18" ma:contentTypeDescription="Crée un document." ma:contentTypeScope="" ma:versionID="59522ab5e3047d415e901a59940c9594">
  <xsd:schema xmlns:xsd="http://www.w3.org/2001/XMLSchema" xmlns:xs="http://www.w3.org/2001/XMLSchema" xmlns:p="http://schemas.microsoft.com/office/2006/metadata/properties" xmlns:ns2="7087008b-5a27-441d-80f4-dd6e3fc9073b" xmlns:ns3="9d013fd1-5e0a-45de-81e5-1f752d8aa8fb" targetNamespace="http://schemas.microsoft.com/office/2006/metadata/properties" ma:root="true" ma:fieldsID="01f539586f527f63d64bc04405a5da1f" ns2:_="" ns3:_="">
    <xsd:import namespace="7087008b-5a27-441d-80f4-dd6e3fc9073b"/>
    <xsd:import namespace="9d013fd1-5e0a-45de-81e5-1f752d8aa8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7008b-5a27-441d-80f4-dd6e3fc90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a574ef16-3a30-4beb-bd52-58ad4342100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013fd1-5e0a-45de-81e5-1f752d8aa8fb"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f0c18359-8422-47e0-b543-29c5e2866fc1}" ma:internalName="TaxCatchAll" ma:showField="CatchAllData" ma:web="9d013fd1-5e0a-45de-81e5-1f752d8aa8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5136C-B17C-4CFD-AC13-F80C2A047F13}">
  <ds:schemaRefs>
    <ds:schemaRef ds:uri="http://schemas.microsoft.com/office/2006/metadata/properties"/>
    <ds:schemaRef ds:uri="http://schemas.microsoft.com/office/infopath/2007/PartnerControls"/>
    <ds:schemaRef ds:uri="672bf682-d726-4d34-a7d5-cd0ea4a02b6f"/>
  </ds:schemaRefs>
</ds:datastoreItem>
</file>

<file path=customXml/itemProps2.xml><?xml version="1.0" encoding="utf-8"?>
<ds:datastoreItem xmlns:ds="http://schemas.openxmlformats.org/officeDocument/2006/customXml" ds:itemID="{41313899-8D19-4CDD-BD49-C8F0FA88AC30}"/>
</file>

<file path=customXml/itemProps3.xml><?xml version="1.0" encoding="utf-8"?>
<ds:datastoreItem xmlns:ds="http://schemas.openxmlformats.org/officeDocument/2006/customXml" ds:itemID="{B3B3DCFA-A5A8-4F62-8B8D-BF019D9C0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6463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 BOUTCHON</dc:creator>
  <cp:keywords/>
  <dc:description/>
  <cp:lastModifiedBy>OLDENHOVE Guillaume</cp:lastModifiedBy>
  <cp:revision>2</cp:revision>
  <dcterms:created xsi:type="dcterms:W3CDTF">2025-03-05T16:14:00Z</dcterms:created>
  <dcterms:modified xsi:type="dcterms:W3CDTF">2025-03-05T16:14:00Z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0x0101000C733EF7F257384D90B9C8981F701B9C</vt:lpwstr>
  </property>
</Properties>
</file>