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F9" w:rsidRPr="00593EA1" w:rsidRDefault="00FE17F9" w:rsidP="00FE17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93EA1">
        <w:rPr>
          <w:rStyle w:val="eop"/>
          <w:rFonts w:asciiTheme="minorHAnsi" w:hAnsiTheme="minorHAnsi" w:cstheme="minorHAnsi"/>
          <w:color w:val="000000"/>
        </w:rPr>
        <w:t> </w:t>
      </w:r>
    </w:p>
    <w:p w:rsidR="00FE17F9" w:rsidRPr="00593EA1" w:rsidRDefault="00FE17F9" w:rsidP="00FE17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:rsidR="00FE17F9" w:rsidRDefault="00AC5C18" w:rsidP="00FE17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Cs/>
          <w:i/>
          <w:color w:val="000000"/>
        </w:rPr>
      </w:pPr>
      <w:r>
        <w:rPr>
          <w:rStyle w:val="normaltextrun"/>
          <w:rFonts w:asciiTheme="minorHAnsi" w:hAnsiTheme="minorHAnsi" w:cstheme="minorHAnsi"/>
          <w:bCs/>
          <w:i/>
          <w:color w:val="000000"/>
        </w:rPr>
        <w:t>Offre de</w:t>
      </w:r>
      <w:r w:rsidRPr="00AC5C18">
        <w:rPr>
          <w:rStyle w:val="normaltextrun"/>
          <w:rFonts w:asciiTheme="minorHAnsi" w:hAnsiTheme="minorHAnsi" w:cstheme="minorHAnsi"/>
          <w:bCs/>
          <w:i/>
          <w:color w:val="000000"/>
        </w:rPr>
        <w:t xml:space="preserve"> </w:t>
      </w:r>
      <w:r>
        <w:rPr>
          <w:rStyle w:val="normaltextrun"/>
          <w:rFonts w:asciiTheme="minorHAnsi" w:hAnsiTheme="minorHAnsi" w:cstheme="minorHAnsi"/>
          <w:bCs/>
          <w:i/>
          <w:color w:val="000000"/>
        </w:rPr>
        <w:t>stage - UMR AGAP</w:t>
      </w:r>
      <w:r w:rsidRPr="00AC5C18">
        <w:rPr>
          <w:rStyle w:val="normaltextrun"/>
          <w:rFonts w:asciiTheme="minorHAnsi" w:hAnsiTheme="minorHAnsi" w:cstheme="minorHAnsi"/>
          <w:bCs/>
          <w:i/>
          <w:color w:val="000000"/>
        </w:rPr>
        <w:t xml:space="preserve"> Institut</w:t>
      </w:r>
    </w:p>
    <w:p w:rsidR="00AD7142" w:rsidRPr="00AC5C18" w:rsidRDefault="00AD7142" w:rsidP="00FE17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Cs/>
          <w:i/>
          <w:color w:val="000000"/>
        </w:rPr>
      </w:pPr>
    </w:p>
    <w:p w:rsidR="00DF1B44" w:rsidRPr="000E093F" w:rsidRDefault="00C53D9D" w:rsidP="000E09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0E093F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Déterminisme </w:t>
      </w:r>
      <w:r w:rsidR="00854EF8" w:rsidRPr="000E093F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génétique </w:t>
      </w:r>
      <w:r w:rsidRPr="000E093F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des stades </w:t>
      </w:r>
      <w:proofErr w:type="spellStart"/>
      <w:r w:rsidRPr="000E093F">
        <w:rPr>
          <w:rStyle w:val="normaltextrun"/>
          <w:rFonts w:asciiTheme="minorHAnsi" w:hAnsiTheme="minorHAnsi" w:cstheme="minorHAnsi"/>
          <w:b/>
          <w:bCs/>
          <w:color w:val="000000"/>
        </w:rPr>
        <w:t>phénologiques</w:t>
      </w:r>
      <w:proofErr w:type="spellEnd"/>
      <w:r w:rsidRPr="000E093F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chez la vigne cultivée</w:t>
      </w:r>
    </w:p>
    <w:p w:rsidR="00FE17F9" w:rsidRPr="00593EA1" w:rsidRDefault="00FE17F9" w:rsidP="00593E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:rsidR="00FE17F9" w:rsidRDefault="00FE17F9" w:rsidP="00593E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593EA1">
        <w:rPr>
          <w:rStyle w:val="normaltextrun"/>
          <w:rFonts w:asciiTheme="minorHAnsi" w:hAnsiTheme="minorHAnsi" w:cstheme="minorHAnsi"/>
          <w:b/>
          <w:bCs/>
          <w:color w:val="000000"/>
        </w:rPr>
        <w:t>CONTEXTE</w:t>
      </w:r>
      <w:r w:rsidR="00B86CB7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Pr="00593EA1">
        <w:rPr>
          <w:rStyle w:val="normaltextrun"/>
          <w:rFonts w:asciiTheme="minorHAnsi" w:hAnsiTheme="minorHAnsi" w:cstheme="minorHAnsi"/>
          <w:b/>
          <w:bCs/>
          <w:color w:val="000000"/>
        </w:rPr>
        <w:t>: </w:t>
      </w:r>
    </w:p>
    <w:p w:rsidR="00FE17F9" w:rsidRDefault="007B3459" w:rsidP="00D43ED5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  <w:r w:rsidRPr="007B3459">
        <w:rPr>
          <w:rStyle w:val="normaltextrun"/>
          <w:rFonts w:asciiTheme="minorHAnsi" w:hAnsiTheme="minorHAnsi" w:cstheme="minorHAnsi"/>
          <w:bCs/>
          <w:color w:val="000000"/>
        </w:rPr>
        <w:t xml:space="preserve">Le </w:t>
      </w:r>
      <w:r w:rsidRPr="00DF5B7C">
        <w:rPr>
          <w:rStyle w:val="normaltextrun"/>
          <w:rFonts w:asciiTheme="minorHAnsi" w:hAnsiTheme="minorHAnsi" w:cstheme="minorHAnsi"/>
          <w:b/>
          <w:bCs/>
          <w:color w:val="000000"/>
        </w:rPr>
        <w:t>changement climatique</w:t>
      </w:r>
      <w:r w:rsidRPr="007B3459">
        <w:rPr>
          <w:rStyle w:val="normaltextrun"/>
          <w:rFonts w:asciiTheme="minorHAnsi" w:hAnsiTheme="minorHAnsi" w:cstheme="minorHAnsi"/>
          <w:bCs/>
          <w:color w:val="000000"/>
        </w:rPr>
        <w:t xml:space="preserve"> impacte fortement le développement </w:t>
      </w:r>
      <w:r>
        <w:rPr>
          <w:rStyle w:val="normaltextrun"/>
          <w:rFonts w:asciiTheme="minorHAnsi" w:hAnsiTheme="minorHAnsi" w:cstheme="minorHAnsi"/>
          <w:bCs/>
          <w:color w:val="000000"/>
        </w:rPr>
        <w:t xml:space="preserve">de la </w:t>
      </w:r>
      <w:r w:rsidRPr="00DF5B7C">
        <w:rPr>
          <w:rStyle w:val="normaltextrun"/>
          <w:rFonts w:asciiTheme="minorHAnsi" w:hAnsiTheme="minorHAnsi" w:cstheme="minorHAnsi"/>
          <w:b/>
          <w:bCs/>
          <w:color w:val="000000"/>
        </w:rPr>
        <w:t>vigne cultivée</w:t>
      </w:r>
      <w:r>
        <w:rPr>
          <w:rStyle w:val="normaltextrun"/>
          <w:rFonts w:asciiTheme="minorHAnsi" w:hAnsiTheme="minorHAnsi" w:cstheme="minorHAnsi"/>
          <w:bCs/>
          <w:color w:val="000000"/>
        </w:rPr>
        <w:t xml:space="preserve">, notamment via des décalages significatifs des </w:t>
      </w:r>
      <w:r w:rsidRPr="00DF5B7C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stades </w:t>
      </w:r>
      <w:proofErr w:type="spellStart"/>
      <w:r w:rsidRPr="00DF5B7C">
        <w:rPr>
          <w:rStyle w:val="normaltextrun"/>
          <w:rFonts w:asciiTheme="minorHAnsi" w:hAnsiTheme="minorHAnsi" w:cstheme="minorHAnsi"/>
          <w:b/>
          <w:bCs/>
          <w:color w:val="000000"/>
        </w:rPr>
        <w:t>phénologiques</w:t>
      </w:r>
      <w:proofErr w:type="spellEnd"/>
      <w:r w:rsidRPr="00DF5B7C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clé</w:t>
      </w:r>
      <w:r w:rsidR="00E36032">
        <w:rPr>
          <w:rStyle w:val="normaltextrun"/>
          <w:rFonts w:asciiTheme="minorHAnsi" w:hAnsiTheme="minorHAnsi" w:cstheme="minorHAnsi"/>
          <w:bCs/>
          <w:color w:val="000000"/>
        </w:rPr>
        <w:t xml:space="preserve"> (</w:t>
      </w:r>
      <w:r w:rsidR="00E36032" w:rsidRPr="00E36032">
        <w:rPr>
          <w:rStyle w:val="normaltextrun"/>
          <w:rFonts w:asciiTheme="minorHAnsi" w:hAnsiTheme="minorHAnsi" w:cstheme="minorHAnsi"/>
          <w:bCs/>
          <w:color w:val="000000"/>
        </w:rPr>
        <w:t>García de Cortázar-</w:t>
      </w:r>
      <w:proofErr w:type="spellStart"/>
      <w:r w:rsidR="00E36032" w:rsidRPr="00E36032">
        <w:rPr>
          <w:rStyle w:val="normaltextrun"/>
          <w:rFonts w:asciiTheme="minorHAnsi" w:hAnsiTheme="minorHAnsi" w:cstheme="minorHAnsi"/>
          <w:bCs/>
          <w:color w:val="000000"/>
        </w:rPr>
        <w:t>Atauri</w:t>
      </w:r>
      <w:proofErr w:type="spellEnd"/>
      <w:r w:rsidR="00E36032">
        <w:rPr>
          <w:rStyle w:val="normaltextrun"/>
          <w:rFonts w:asciiTheme="minorHAnsi" w:hAnsiTheme="minorHAnsi" w:cstheme="minorHAnsi"/>
          <w:bCs/>
          <w:color w:val="000000"/>
        </w:rPr>
        <w:t xml:space="preserve"> et al., 2017)</w:t>
      </w:r>
      <w:r>
        <w:rPr>
          <w:rStyle w:val="normaltextrun"/>
          <w:rFonts w:asciiTheme="minorHAnsi" w:hAnsiTheme="minorHAnsi" w:cstheme="minorHAnsi"/>
          <w:bCs/>
          <w:color w:val="000000"/>
        </w:rPr>
        <w:t xml:space="preserve">. Ces décalages entraînent non seulement des risques accrus de dommages liés aux évènements climatiques extrêmes tels que gels tardifs ou canicules, </w:t>
      </w:r>
      <w:r w:rsidR="00AD7142">
        <w:rPr>
          <w:rStyle w:val="normaltextrun"/>
          <w:rFonts w:asciiTheme="minorHAnsi" w:hAnsiTheme="minorHAnsi" w:cstheme="minorHAnsi"/>
          <w:bCs/>
          <w:color w:val="000000"/>
        </w:rPr>
        <w:t>mais aussi un décalage du cycle de développement du raisin pouvant entraîner une diminution du rendement</w:t>
      </w:r>
      <w:r w:rsidR="007A438E">
        <w:rPr>
          <w:rStyle w:val="normaltextrun"/>
          <w:rFonts w:asciiTheme="minorHAnsi" w:hAnsiTheme="minorHAnsi" w:cstheme="minorHAnsi"/>
          <w:bCs/>
          <w:color w:val="000000"/>
        </w:rPr>
        <w:t xml:space="preserve"> et de la qualité (</w:t>
      </w:r>
      <w:r w:rsidR="00FB51B8">
        <w:rPr>
          <w:rStyle w:val="normaltextrun"/>
          <w:rFonts w:asciiTheme="minorHAnsi" w:hAnsiTheme="minorHAnsi" w:cstheme="minorHAnsi"/>
          <w:bCs/>
          <w:color w:val="000000"/>
        </w:rPr>
        <w:t>van Leeuwen et al., 2024</w:t>
      </w:r>
      <w:r w:rsidR="007A438E">
        <w:rPr>
          <w:rStyle w:val="normaltextrun"/>
          <w:rFonts w:asciiTheme="minorHAnsi" w:hAnsiTheme="minorHAnsi" w:cstheme="minorHAnsi"/>
          <w:bCs/>
          <w:color w:val="000000"/>
        </w:rPr>
        <w:t>).</w:t>
      </w:r>
    </w:p>
    <w:p w:rsidR="008E3C9F" w:rsidRDefault="00581110" w:rsidP="00D43ED5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  <w:r>
        <w:rPr>
          <w:rStyle w:val="normaltextrun"/>
          <w:rFonts w:asciiTheme="minorHAnsi" w:hAnsiTheme="minorHAnsi" w:cstheme="minorHAnsi"/>
          <w:bCs/>
          <w:color w:val="000000"/>
        </w:rPr>
        <w:t>Afin d’</w:t>
      </w:r>
      <w:r w:rsidR="00AD7142">
        <w:rPr>
          <w:rStyle w:val="normaltextrun"/>
          <w:rFonts w:asciiTheme="minorHAnsi" w:hAnsiTheme="minorHAnsi" w:cstheme="minorHAnsi"/>
          <w:bCs/>
          <w:color w:val="000000"/>
        </w:rPr>
        <w:t xml:space="preserve">accélérer la </w:t>
      </w:r>
      <w:r w:rsidR="00AD7142" w:rsidRPr="00D43ED5">
        <w:rPr>
          <w:rStyle w:val="normaltextrun"/>
          <w:rFonts w:asciiTheme="minorHAnsi" w:hAnsiTheme="minorHAnsi" w:cstheme="minorHAnsi"/>
          <w:bCs/>
          <w:color w:val="000000"/>
        </w:rPr>
        <w:t>sélection</w:t>
      </w:r>
      <w:r w:rsidR="00AD7142">
        <w:rPr>
          <w:rStyle w:val="normaltextrun"/>
          <w:rFonts w:asciiTheme="minorHAnsi" w:hAnsiTheme="minorHAnsi" w:cstheme="minorHAnsi"/>
          <w:bCs/>
          <w:color w:val="000000"/>
        </w:rPr>
        <w:t xml:space="preserve"> de </w:t>
      </w:r>
      <w:r w:rsidR="00AD7142" w:rsidRPr="00D43ED5">
        <w:rPr>
          <w:rStyle w:val="normaltextrun"/>
          <w:rFonts w:asciiTheme="minorHAnsi" w:hAnsiTheme="minorHAnsi" w:cstheme="minorHAnsi"/>
          <w:b/>
          <w:bCs/>
          <w:color w:val="000000"/>
        </w:rPr>
        <w:t>nouvelles variétés adaptées</w:t>
      </w:r>
      <w:r w:rsidR="00AD7142">
        <w:rPr>
          <w:rStyle w:val="normaltextrun"/>
          <w:rFonts w:asciiTheme="minorHAnsi" w:hAnsiTheme="minorHAnsi" w:cstheme="minorHAnsi"/>
          <w:bCs/>
          <w:color w:val="000000"/>
        </w:rPr>
        <w:t xml:space="preserve"> aux futures conditions climatiques, </w:t>
      </w:r>
      <w:r w:rsidR="007A438E">
        <w:rPr>
          <w:rStyle w:val="normaltextrun"/>
          <w:rFonts w:asciiTheme="minorHAnsi" w:hAnsiTheme="minorHAnsi" w:cstheme="minorHAnsi"/>
          <w:bCs/>
          <w:color w:val="000000"/>
        </w:rPr>
        <w:t xml:space="preserve">l’équipe DAAV cherche à caractériser le </w:t>
      </w:r>
      <w:r w:rsidR="007A438E" w:rsidRPr="00824028">
        <w:rPr>
          <w:rStyle w:val="normaltextrun"/>
          <w:rFonts w:asciiTheme="minorHAnsi" w:hAnsiTheme="minorHAnsi" w:cstheme="minorHAnsi"/>
          <w:b/>
          <w:bCs/>
          <w:color w:val="000000"/>
        </w:rPr>
        <w:t>déterminisme génétique</w:t>
      </w:r>
      <w:r w:rsidR="007A438E">
        <w:rPr>
          <w:rStyle w:val="normaltextrun"/>
          <w:rFonts w:asciiTheme="minorHAnsi" w:hAnsiTheme="minorHAnsi" w:cstheme="minorHAnsi"/>
          <w:bCs/>
          <w:color w:val="000000"/>
        </w:rPr>
        <w:t xml:space="preserve"> des caractères cibles</w:t>
      </w:r>
      <w:r w:rsidR="00E36032">
        <w:rPr>
          <w:rStyle w:val="normaltextrun"/>
          <w:rFonts w:asciiTheme="minorHAnsi" w:hAnsiTheme="minorHAnsi" w:cstheme="minorHAnsi"/>
          <w:bCs/>
          <w:color w:val="000000"/>
        </w:rPr>
        <w:t>, dont la phénologie</w:t>
      </w:r>
      <w:r w:rsidR="00A824A4">
        <w:rPr>
          <w:rStyle w:val="normaltextrun"/>
          <w:rFonts w:asciiTheme="minorHAnsi" w:hAnsiTheme="minorHAnsi" w:cstheme="minorHAnsi"/>
          <w:bCs/>
          <w:color w:val="000000"/>
        </w:rPr>
        <w:t xml:space="preserve"> et la fertilité</w:t>
      </w:r>
      <w:r w:rsidR="007A438E">
        <w:rPr>
          <w:rStyle w:val="normaltextrun"/>
          <w:rFonts w:asciiTheme="minorHAnsi" w:hAnsiTheme="minorHAnsi" w:cstheme="minorHAnsi"/>
          <w:bCs/>
          <w:color w:val="000000"/>
        </w:rPr>
        <w:t xml:space="preserve">. </w:t>
      </w:r>
      <w:r w:rsidR="008E3C9F">
        <w:rPr>
          <w:rStyle w:val="normaltextrun"/>
          <w:rFonts w:asciiTheme="minorHAnsi" w:hAnsiTheme="minorHAnsi" w:cstheme="minorHAnsi"/>
          <w:bCs/>
          <w:color w:val="000000"/>
        </w:rPr>
        <w:t xml:space="preserve">Plusieurs </w:t>
      </w:r>
      <w:r w:rsidR="005671CD">
        <w:rPr>
          <w:rStyle w:val="normaltextrun"/>
          <w:rFonts w:asciiTheme="minorHAnsi" w:hAnsiTheme="minorHAnsi" w:cstheme="minorHAnsi"/>
          <w:bCs/>
          <w:color w:val="000000"/>
        </w:rPr>
        <w:t xml:space="preserve">régions génomiques </w:t>
      </w:r>
      <w:r w:rsidR="008E3C9F">
        <w:rPr>
          <w:rStyle w:val="normaltextrun"/>
          <w:rFonts w:asciiTheme="minorHAnsi" w:hAnsiTheme="minorHAnsi" w:cstheme="minorHAnsi"/>
          <w:bCs/>
          <w:color w:val="000000"/>
        </w:rPr>
        <w:t xml:space="preserve">contrôlant </w:t>
      </w:r>
      <w:r w:rsidR="00484DB7">
        <w:rPr>
          <w:rStyle w:val="normaltextrun"/>
          <w:rFonts w:asciiTheme="minorHAnsi" w:hAnsiTheme="minorHAnsi" w:cstheme="minorHAnsi"/>
          <w:bCs/>
          <w:color w:val="000000"/>
        </w:rPr>
        <w:t xml:space="preserve">ces caractères (QTL) </w:t>
      </w:r>
      <w:r w:rsidR="005671CD">
        <w:rPr>
          <w:rStyle w:val="normaltextrun"/>
          <w:rFonts w:asciiTheme="minorHAnsi" w:hAnsiTheme="minorHAnsi" w:cstheme="minorHAnsi"/>
          <w:bCs/>
          <w:color w:val="000000"/>
        </w:rPr>
        <w:t>ont déjà été trouvées</w:t>
      </w:r>
      <w:r w:rsidR="008E3C9F">
        <w:rPr>
          <w:rStyle w:val="normaltextrun"/>
          <w:rFonts w:asciiTheme="minorHAnsi" w:hAnsiTheme="minorHAnsi" w:cstheme="minorHAnsi"/>
          <w:bCs/>
          <w:color w:val="000000"/>
        </w:rPr>
        <w:t xml:space="preserve"> dans des populations </w:t>
      </w:r>
      <w:proofErr w:type="spellStart"/>
      <w:r w:rsidR="008E3C9F">
        <w:rPr>
          <w:rStyle w:val="normaltextrun"/>
          <w:rFonts w:asciiTheme="minorHAnsi" w:hAnsiTheme="minorHAnsi" w:cstheme="minorHAnsi"/>
          <w:bCs/>
          <w:color w:val="000000"/>
        </w:rPr>
        <w:t>bi-parentales</w:t>
      </w:r>
      <w:proofErr w:type="spellEnd"/>
      <w:r w:rsidR="008E3C9F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r w:rsidR="00FA128C">
        <w:rPr>
          <w:rStyle w:val="normaltextrun"/>
          <w:rFonts w:asciiTheme="minorHAnsi" w:hAnsiTheme="minorHAnsi" w:cstheme="minorHAnsi"/>
          <w:bCs/>
          <w:color w:val="000000"/>
        </w:rPr>
        <w:t>(</w:t>
      </w:r>
      <w:proofErr w:type="spellStart"/>
      <w:r w:rsidR="00242629">
        <w:rPr>
          <w:rStyle w:val="normaltextrun"/>
          <w:rFonts w:asciiTheme="minorHAnsi" w:hAnsiTheme="minorHAnsi" w:cstheme="minorHAnsi"/>
          <w:bCs/>
          <w:color w:val="000000"/>
        </w:rPr>
        <w:t>Doligez</w:t>
      </w:r>
      <w:proofErr w:type="spellEnd"/>
      <w:r w:rsidR="00242629">
        <w:rPr>
          <w:rStyle w:val="normaltextrun"/>
          <w:rFonts w:asciiTheme="minorHAnsi" w:hAnsiTheme="minorHAnsi" w:cstheme="minorHAnsi"/>
          <w:bCs/>
          <w:color w:val="000000"/>
        </w:rPr>
        <w:t xml:space="preserve"> et al., 2010</w:t>
      </w:r>
      <w:r w:rsidR="00A824A4">
        <w:rPr>
          <w:rStyle w:val="normaltextrun"/>
          <w:rFonts w:asciiTheme="minorHAnsi" w:hAnsiTheme="minorHAnsi" w:cstheme="minorHAnsi"/>
          <w:bCs/>
          <w:color w:val="000000"/>
        </w:rPr>
        <w:t xml:space="preserve"> ; </w:t>
      </w:r>
      <w:proofErr w:type="spellStart"/>
      <w:r w:rsidR="00FA128C">
        <w:rPr>
          <w:rStyle w:val="normaltextrun"/>
          <w:rFonts w:asciiTheme="minorHAnsi" w:hAnsiTheme="minorHAnsi" w:cstheme="minorHAnsi"/>
          <w:bCs/>
          <w:color w:val="000000"/>
        </w:rPr>
        <w:t>Vezzulli</w:t>
      </w:r>
      <w:proofErr w:type="spellEnd"/>
      <w:r w:rsidR="00FA128C">
        <w:rPr>
          <w:rStyle w:val="normaltextrun"/>
          <w:rFonts w:asciiTheme="minorHAnsi" w:hAnsiTheme="minorHAnsi" w:cstheme="minorHAnsi"/>
          <w:bCs/>
          <w:color w:val="000000"/>
        </w:rPr>
        <w:t xml:space="preserve"> et al., 2019</w:t>
      </w:r>
      <w:r w:rsidR="008E3C9F">
        <w:rPr>
          <w:rStyle w:val="normaltextrun"/>
          <w:rFonts w:asciiTheme="minorHAnsi" w:hAnsiTheme="minorHAnsi" w:cstheme="minorHAnsi"/>
          <w:bCs/>
          <w:color w:val="000000"/>
        </w:rPr>
        <w:t xml:space="preserve"> ; </w:t>
      </w:r>
      <w:proofErr w:type="spellStart"/>
      <w:r w:rsidR="008E3C9F">
        <w:rPr>
          <w:rStyle w:val="normaltextrun"/>
          <w:rFonts w:asciiTheme="minorHAnsi" w:hAnsiTheme="minorHAnsi" w:cstheme="minorHAnsi"/>
          <w:bCs/>
          <w:color w:val="000000"/>
        </w:rPr>
        <w:t>Delfino</w:t>
      </w:r>
      <w:proofErr w:type="spellEnd"/>
      <w:r w:rsidR="008E3C9F">
        <w:rPr>
          <w:rStyle w:val="normaltextrun"/>
          <w:rFonts w:asciiTheme="minorHAnsi" w:hAnsiTheme="minorHAnsi" w:cstheme="minorHAnsi"/>
          <w:bCs/>
          <w:color w:val="000000"/>
        </w:rPr>
        <w:t xml:space="preserve"> et al., 2019) </w:t>
      </w:r>
      <w:r w:rsidR="00484DB7">
        <w:rPr>
          <w:rStyle w:val="normaltextrun"/>
          <w:rFonts w:asciiTheme="minorHAnsi" w:hAnsiTheme="minorHAnsi" w:cstheme="minorHAnsi"/>
          <w:bCs/>
          <w:color w:val="000000"/>
        </w:rPr>
        <w:t xml:space="preserve">mais la diversité explorée est faible et la </w:t>
      </w:r>
      <w:r w:rsidR="00914ADD">
        <w:rPr>
          <w:rStyle w:val="normaltextrun"/>
          <w:rFonts w:asciiTheme="minorHAnsi" w:hAnsiTheme="minorHAnsi" w:cstheme="minorHAnsi"/>
          <w:bCs/>
          <w:color w:val="000000"/>
        </w:rPr>
        <w:t xml:space="preserve">localisation de </w:t>
      </w:r>
      <w:proofErr w:type="gramStart"/>
      <w:r w:rsidR="00914ADD">
        <w:rPr>
          <w:rStyle w:val="normaltextrun"/>
          <w:rFonts w:asciiTheme="minorHAnsi" w:hAnsiTheme="minorHAnsi" w:cstheme="minorHAnsi"/>
          <w:bCs/>
          <w:color w:val="000000"/>
        </w:rPr>
        <w:t xml:space="preserve">ces régions </w:t>
      </w:r>
      <w:r w:rsidR="00484DB7">
        <w:rPr>
          <w:rStyle w:val="normaltextrun"/>
          <w:rFonts w:asciiTheme="minorHAnsi" w:hAnsiTheme="minorHAnsi" w:cstheme="minorHAnsi"/>
          <w:bCs/>
          <w:color w:val="000000"/>
        </w:rPr>
        <w:t>peu précise</w:t>
      </w:r>
      <w:proofErr w:type="gramEnd"/>
      <w:r w:rsidR="00484DB7">
        <w:rPr>
          <w:rStyle w:val="normaltextrun"/>
          <w:rFonts w:asciiTheme="minorHAnsi" w:hAnsiTheme="minorHAnsi" w:cstheme="minorHAnsi"/>
          <w:bCs/>
          <w:color w:val="000000"/>
        </w:rPr>
        <w:t xml:space="preserve">. </w:t>
      </w:r>
    </w:p>
    <w:p w:rsidR="00B9799A" w:rsidRDefault="00484DB7" w:rsidP="00D609BA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  <w:r>
        <w:rPr>
          <w:rStyle w:val="normaltextrun"/>
          <w:rFonts w:asciiTheme="minorHAnsi" w:hAnsiTheme="minorHAnsi" w:cstheme="minorHAnsi"/>
          <w:bCs/>
          <w:color w:val="000000"/>
        </w:rPr>
        <w:t>C’est pourquoi n</w:t>
      </w:r>
      <w:r w:rsidR="00C16D39">
        <w:rPr>
          <w:rStyle w:val="normaltextrun"/>
          <w:rFonts w:asciiTheme="minorHAnsi" w:hAnsiTheme="minorHAnsi" w:cstheme="minorHAnsi"/>
          <w:bCs/>
          <w:color w:val="000000"/>
        </w:rPr>
        <w:t>ous</w:t>
      </w:r>
      <w:r w:rsidR="00513210">
        <w:rPr>
          <w:rStyle w:val="normaltextrun"/>
          <w:rFonts w:asciiTheme="minorHAnsi" w:hAnsiTheme="minorHAnsi" w:cstheme="minorHAnsi"/>
          <w:bCs/>
          <w:color w:val="000000"/>
        </w:rPr>
        <w:t xml:space="preserve"> avons </w:t>
      </w:r>
      <w:r w:rsidR="00C16D39">
        <w:rPr>
          <w:rStyle w:val="normaltextrun"/>
          <w:rFonts w:asciiTheme="minorHAnsi" w:hAnsiTheme="minorHAnsi" w:cstheme="minorHAnsi"/>
          <w:bCs/>
          <w:color w:val="000000"/>
        </w:rPr>
        <w:t xml:space="preserve">défini et </w:t>
      </w:r>
      <w:r w:rsidR="00513210">
        <w:rPr>
          <w:rStyle w:val="normaltextrun"/>
          <w:rFonts w:asciiTheme="minorHAnsi" w:hAnsiTheme="minorHAnsi" w:cstheme="minorHAnsi"/>
          <w:bCs/>
          <w:color w:val="000000"/>
        </w:rPr>
        <w:t xml:space="preserve">planté </w:t>
      </w:r>
      <w:r w:rsidR="00513210" w:rsidRPr="00513210">
        <w:rPr>
          <w:rStyle w:val="normaltextrun"/>
          <w:rFonts w:asciiTheme="minorHAnsi" w:hAnsiTheme="minorHAnsi" w:cstheme="minorHAnsi"/>
          <w:bCs/>
          <w:color w:val="000000"/>
        </w:rPr>
        <w:t xml:space="preserve">un </w:t>
      </w:r>
      <w:r w:rsidR="00513210" w:rsidRPr="00824028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panel </w:t>
      </w:r>
      <w:r w:rsidR="00C16D39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de </w:t>
      </w:r>
      <w:r w:rsidR="00C16D39" w:rsidRPr="00C16D39">
        <w:rPr>
          <w:rStyle w:val="normaltextrun"/>
          <w:rFonts w:asciiTheme="minorHAnsi" w:hAnsiTheme="minorHAnsi" w:cstheme="minorHAnsi"/>
          <w:b/>
          <w:bCs/>
          <w:color w:val="000000"/>
        </w:rPr>
        <w:t>279 variétés</w:t>
      </w:r>
      <w:r w:rsidR="00C16D39" w:rsidRPr="00C16D39">
        <w:rPr>
          <w:rStyle w:val="normaltextrun"/>
          <w:rFonts w:asciiTheme="minorHAnsi" w:hAnsiTheme="minorHAnsi" w:cstheme="minorHAnsi"/>
          <w:bCs/>
          <w:color w:val="000000"/>
        </w:rPr>
        <w:t xml:space="preserve"> représentant l’ensemble</w:t>
      </w:r>
      <w:r w:rsidR="00C16D39" w:rsidRPr="00513210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r w:rsidR="00E36032" w:rsidRPr="00C16D39">
        <w:rPr>
          <w:rStyle w:val="normaltextrun"/>
          <w:rFonts w:asciiTheme="minorHAnsi" w:hAnsiTheme="minorHAnsi" w:cstheme="minorHAnsi"/>
          <w:bCs/>
          <w:color w:val="000000"/>
        </w:rPr>
        <w:t>de</w:t>
      </w:r>
      <w:r w:rsidR="00581110" w:rsidRPr="00C16D39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r w:rsidR="00C16D39" w:rsidRPr="00C16D39">
        <w:rPr>
          <w:rStyle w:val="normaltextrun"/>
          <w:rFonts w:asciiTheme="minorHAnsi" w:hAnsiTheme="minorHAnsi" w:cstheme="minorHAnsi"/>
          <w:bCs/>
          <w:color w:val="000000"/>
        </w:rPr>
        <w:t xml:space="preserve">la </w:t>
      </w:r>
      <w:r w:rsidR="00513210" w:rsidRPr="00C16D39">
        <w:rPr>
          <w:rStyle w:val="normaltextrun"/>
          <w:rFonts w:asciiTheme="minorHAnsi" w:hAnsiTheme="minorHAnsi" w:cstheme="minorHAnsi"/>
          <w:bCs/>
          <w:color w:val="000000"/>
        </w:rPr>
        <w:t>diversité</w:t>
      </w:r>
      <w:r w:rsidR="00513210" w:rsidRPr="00513210">
        <w:rPr>
          <w:rStyle w:val="normaltextrun"/>
          <w:rFonts w:asciiTheme="minorHAnsi" w:hAnsiTheme="minorHAnsi" w:cstheme="minorHAnsi"/>
          <w:bCs/>
          <w:color w:val="000000"/>
        </w:rPr>
        <w:t xml:space="preserve"> génétique</w:t>
      </w:r>
      <w:r w:rsidR="00C16D39" w:rsidRPr="00C16D39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r w:rsidR="00C16D39">
        <w:rPr>
          <w:rStyle w:val="normaltextrun"/>
          <w:rFonts w:asciiTheme="minorHAnsi" w:hAnsiTheme="minorHAnsi" w:cstheme="minorHAnsi"/>
          <w:bCs/>
          <w:color w:val="000000"/>
        </w:rPr>
        <w:t xml:space="preserve">de la vigne cultivée, </w:t>
      </w:r>
      <w:r w:rsidR="00C16D39" w:rsidRPr="00581110">
        <w:rPr>
          <w:rStyle w:val="normaltextrun"/>
          <w:rFonts w:asciiTheme="minorHAnsi" w:hAnsiTheme="minorHAnsi" w:cstheme="minorHAnsi"/>
          <w:bCs/>
          <w:i/>
          <w:color w:val="000000"/>
        </w:rPr>
        <w:t xml:space="preserve">Vitis </w:t>
      </w:r>
      <w:proofErr w:type="spellStart"/>
      <w:r w:rsidR="00C16D39" w:rsidRPr="00581110">
        <w:rPr>
          <w:rStyle w:val="normaltextrun"/>
          <w:rFonts w:asciiTheme="minorHAnsi" w:hAnsiTheme="minorHAnsi" w:cstheme="minorHAnsi"/>
          <w:bCs/>
          <w:i/>
          <w:color w:val="000000"/>
        </w:rPr>
        <w:t>vinifera</w:t>
      </w:r>
      <w:proofErr w:type="spellEnd"/>
      <w:r w:rsidR="00513210" w:rsidRPr="00513210">
        <w:rPr>
          <w:rStyle w:val="normaltextrun"/>
          <w:rFonts w:asciiTheme="minorHAnsi" w:hAnsiTheme="minorHAnsi" w:cstheme="minorHAnsi"/>
          <w:bCs/>
          <w:color w:val="000000"/>
        </w:rPr>
        <w:t xml:space="preserve"> (Nicolas et al., 2016)</w:t>
      </w:r>
      <w:r w:rsidR="00C16D39">
        <w:rPr>
          <w:rStyle w:val="normaltextrun"/>
          <w:rFonts w:asciiTheme="minorHAnsi" w:hAnsiTheme="minorHAnsi" w:cstheme="minorHAnsi"/>
          <w:bCs/>
          <w:color w:val="000000"/>
        </w:rPr>
        <w:t xml:space="preserve">, </w:t>
      </w:r>
      <w:r w:rsidR="004117A3">
        <w:rPr>
          <w:rStyle w:val="normaltextrun"/>
          <w:rFonts w:asciiTheme="minorHAnsi" w:hAnsiTheme="minorHAnsi" w:cstheme="minorHAnsi"/>
          <w:bCs/>
          <w:color w:val="000000"/>
        </w:rPr>
        <w:t>en</w:t>
      </w:r>
      <w:r w:rsidR="00C16D39">
        <w:rPr>
          <w:rStyle w:val="normaltextrun"/>
          <w:rFonts w:asciiTheme="minorHAnsi" w:hAnsiTheme="minorHAnsi" w:cstheme="minorHAnsi"/>
          <w:bCs/>
          <w:color w:val="000000"/>
        </w:rPr>
        <w:t xml:space="preserve"> 4 répétitions,</w:t>
      </w:r>
      <w:r w:rsidR="00581110">
        <w:rPr>
          <w:rStyle w:val="normaltextrun"/>
          <w:rFonts w:asciiTheme="minorHAnsi" w:hAnsiTheme="minorHAnsi" w:cstheme="minorHAnsi"/>
          <w:bCs/>
          <w:color w:val="000000"/>
        </w:rPr>
        <w:t xml:space="preserve"> à l’Unité Expérimentale INRAE de </w:t>
      </w:r>
      <w:proofErr w:type="spellStart"/>
      <w:r w:rsidR="00581110">
        <w:rPr>
          <w:rStyle w:val="normaltextrun"/>
          <w:rFonts w:asciiTheme="minorHAnsi" w:hAnsiTheme="minorHAnsi" w:cstheme="minorHAnsi"/>
          <w:bCs/>
          <w:color w:val="000000"/>
        </w:rPr>
        <w:t>Pech</w:t>
      </w:r>
      <w:proofErr w:type="spellEnd"/>
      <w:r w:rsidR="00581110">
        <w:rPr>
          <w:rStyle w:val="normaltextrun"/>
          <w:rFonts w:asciiTheme="minorHAnsi" w:hAnsiTheme="minorHAnsi" w:cstheme="minorHAnsi"/>
          <w:bCs/>
          <w:color w:val="000000"/>
        </w:rPr>
        <w:t>-Rouge (Gruissan, Aude).</w:t>
      </w:r>
      <w:r w:rsidR="00223F26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r w:rsidR="00B9799A">
        <w:rPr>
          <w:rStyle w:val="normaltextrun"/>
          <w:rFonts w:asciiTheme="minorHAnsi" w:hAnsiTheme="minorHAnsi" w:cstheme="minorHAnsi"/>
          <w:bCs/>
          <w:color w:val="000000"/>
        </w:rPr>
        <w:t xml:space="preserve">Dans le cadre de projets </w:t>
      </w:r>
      <w:proofErr w:type="spellStart"/>
      <w:r w:rsidR="008E3C9F">
        <w:rPr>
          <w:rStyle w:val="normaltextrun"/>
          <w:rFonts w:asciiTheme="minorHAnsi" w:hAnsiTheme="minorHAnsi" w:cstheme="minorHAnsi"/>
          <w:bCs/>
          <w:color w:val="000000"/>
        </w:rPr>
        <w:t>Vinid’Occ</w:t>
      </w:r>
      <w:proofErr w:type="spellEnd"/>
      <w:r w:rsidR="008E3C9F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r w:rsidR="00B9799A">
        <w:rPr>
          <w:rStyle w:val="normaltextrun"/>
          <w:rFonts w:asciiTheme="minorHAnsi" w:hAnsiTheme="minorHAnsi" w:cstheme="minorHAnsi"/>
          <w:bCs/>
          <w:color w:val="000000"/>
        </w:rPr>
        <w:t>financés par la région Occitanie, d</w:t>
      </w:r>
      <w:r w:rsidR="00223F26">
        <w:rPr>
          <w:rStyle w:val="normaltextrun"/>
          <w:rFonts w:asciiTheme="minorHAnsi" w:hAnsiTheme="minorHAnsi" w:cstheme="minorHAnsi"/>
          <w:bCs/>
          <w:color w:val="000000"/>
        </w:rPr>
        <w:t xml:space="preserve">es données de </w:t>
      </w:r>
      <w:r w:rsidR="00223F26" w:rsidRPr="009F7D2C">
        <w:rPr>
          <w:rStyle w:val="normaltextrun"/>
          <w:rFonts w:asciiTheme="minorHAnsi" w:hAnsiTheme="minorHAnsi" w:cstheme="minorHAnsi"/>
          <w:b/>
          <w:bCs/>
          <w:color w:val="000000"/>
        </w:rPr>
        <w:t>génotypag</w:t>
      </w:r>
      <w:r w:rsidR="004117A3" w:rsidRPr="009F7D2C">
        <w:rPr>
          <w:rStyle w:val="normaltextrun"/>
          <w:rFonts w:asciiTheme="minorHAnsi" w:hAnsiTheme="minorHAnsi" w:cstheme="minorHAnsi"/>
          <w:b/>
          <w:bCs/>
          <w:color w:val="000000"/>
        </w:rPr>
        <w:t>e</w:t>
      </w:r>
      <w:r w:rsidR="004117A3">
        <w:rPr>
          <w:rStyle w:val="normaltextrun"/>
          <w:rFonts w:asciiTheme="minorHAnsi" w:hAnsiTheme="minorHAnsi" w:cstheme="minorHAnsi"/>
          <w:bCs/>
          <w:color w:val="000000"/>
        </w:rPr>
        <w:t xml:space="preserve"> pour</w:t>
      </w:r>
      <w:r w:rsidR="00223F26">
        <w:rPr>
          <w:rStyle w:val="normaltextrun"/>
          <w:rFonts w:asciiTheme="minorHAnsi" w:hAnsiTheme="minorHAnsi" w:cstheme="minorHAnsi"/>
          <w:bCs/>
          <w:color w:val="000000"/>
        </w:rPr>
        <w:t xml:space="preserve"> 3 millions de </w:t>
      </w:r>
      <w:r w:rsidR="000C141B">
        <w:rPr>
          <w:rStyle w:val="normaltextrun"/>
          <w:rFonts w:asciiTheme="minorHAnsi" w:hAnsiTheme="minorHAnsi" w:cstheme="minorHAnsi"/>
          <w:bCs/>
          <w:color w:val="000000"/>
        </w:rPr>
        <w:t xml:space="preserve">marqueurs </w:t>
      </w:r>
      <w:r w:rsidR="00223F26" w:rsidRPr="009F7D2C">
        <w:rPr>
          <w:rStyle w:val="normaltextrun"/>
          <w:rFonts w:asciiTheme="minorHAnsi" w:hAnsiTheme="minorHAnsi" w:cstheme="minorHAnsi"/>
          <w:bCs/>
          <w:color w:val="000000"/>
        </w:rPr>
        <w:t>SNP</w:t>
      </w:r>
      <w:r w:rsidR="00223F26">
        <w:rPr>
          <w:rStyle w:val="normaltextrun"/>
          <w:rFonts w:asciiTheme="minorHAnsi" w:hAnsiTheme="minorHAnsi" w:cstheme="minorHAnsi"/>
          <w:bCs/>
          <w:color w:val="000000"/>
        </w:rPr>
        <w:t xml:space="preserve"> ont été obtenues </w:t>
      </w:r>
      <w:r w:rsidR="00F61467">
        <w:rPr>
          <w:rStyle w:val="normaltextrun"/>
          <w:rFonts w:asciiTheme="minorHAnsi" w:hAnsiTheme="minorHAnsi" w:cstheme="minorHAnsi"/>
          <w:bCs/>
          <w:color w:val="000000"/>
        </w:rPr>
        <w:t xml:space="preserve">récemment </w:t>
      </w:r>
      <w:r w:rsidR="00223F26">
        <w:rPr>
          <w:rStyle w:val="normaltextrun"/>
          <w:rFonts w:asciiTheme="minorHAnsi" w:hAnsiTheme="minorHAnsi" w:cstheme="minorHAnsi"/>
          <w:bCs/>
          <w:color w:val="000000"/>
        </w:rPr>
        <w:t>par séquençage</w:t>
      </w:r>
      <w:r w:rsidR="007773B4">
        <w:rPr>
          <w:rStyle w:val="normaltextrun"/>
          <w:rFonts w:asciiTheme="minorHAnsi" w:hAnsiTheme="minorHAnsi" w:cstheme="minorHAnsi"/>
          <w:bCs/>
          <w:color w:val="000000"/>
        </w:rPr>
        <w:t xml:space="preserve"> pour ce panel</w:t>
      </w:r>
      <w:r w:rsidR="00B9799A">
        <w:rPr>
          <w:rStyle w:val="normaltextrun"/>
          <w:rFonts w:asciiTheme="minorHAnsi" w:hAnsiTheme="minorHAnsi" w:cstheme="minorHAnsi"/>
          <w:bCs/>
          <w:color w:val="000000"/>
        </w:rPr>
        <w:t xml:space="preserve">, et </w:t>
      </w:r>
      <w:r w:rsidR="007773B4">
        <w:rPr>
          <w:rStyle w:val="normaltextrun"/>
          <w:rFonts w:asciiTheme="minorHAnsi" w:hAnsiTheme="minorHAnsi" w:cstheme="minorHAnsi"/>
          <w:bCs/>
          <w:color w:val="000000"/>
        </w:rPr>
        <w:t>une première campagne de</w:t>
      </w:r>
      <w:r w:rsidR="009F7D2C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="009F7D2C" w:rsidRPr="009F7D2C">
        <w:rPr>
          <w:rStyle w:val="normaltextrun"/>
          <w:rFonts w:asciiTheme="minorHAnsi" w:hAnsiTheme="minorHAnsi" w:cstheme="minorHAnsi"/>
          <w:b/>
          <w:bCs/>
          <w:color w:val="000000"/>
        </w:rPr>
        <w:t>phénotypage</w:t>
      </w:r>
      <w:proofErr w:type="spellEnd"/>
      <w:r w:rsidR="009F7D2C">
        <w:rPr>
          <w:rStyle w:val="normaltextrun"/>
          <w:rFonts w:asciiTheme="minorHAnsi" w:hAnsiTheme="minorHAnsi" w:cstheme="minorHAnsi"/>
          <w:bCs/>
          <w:color w:val="000000"/>
        </w:rPr>
        <w:t xml:space="preserve"> </w:t>
      </w:r>
      <w:r w:rsidR="007773B4">
        <w:rPr>
          <w:rStyle w:val="normaltextrun"/>
          <w:rFonts w:asciiTheme="minorHAnsi" w:hAnsiTheme="minorHAnsi" w:cstheme="minorHAnsi"/>
          <w:bCs/>
          <w:color w:val="000000"/>
        </w:rPr>
        <w:t>est prévue</w:t>
      </w:r>
      <w:r w:rsidR="00F61467">
        <w:rPr>
          <w:rStyle w:val="normaltextrun"/>
          <w:rFonts w:asciiTheme="minorHAnsi" w:hAnsiTheme="minorHAnsi" w:cstheme="minorHAnsi"/>
          <w:bCs/>
          <w:color w:val="000000"/>
        </w:rPr>
        <w:t xml:space="preserve"> en 2025</w:t>
      </w:r>
      <w:r w:rsidR="00933015">
        <w:rPr>
          <w:rStyle w:val="normaltextrun"/>
          <w:rFonts w:asciiTheme="minorHAnsi" w:hAnsiTheme="minorHAnsi" w:cstheme="minorHAnsi"/>
          <w:bCs/>
          <w:color w:val="000000"/>
        </w:rPr>
        <w:t>.</w:t>
      </w:r>
      <w:r w:rsidR="00D609BA">
        <w:rPr>
          <w:rStyle w:val="normaltextrun"/>
          <w:rFonts w:asciiTheme="minorHAnsi" w:hAnsiTheme="minorHAnsi" w:cstheme="minorHAnsi"/>
          <w:bCs/>
          <w:color w:val="000000"/>
        </w:rPr>
        <w:t xml:space="preserve"> Par ailleurs, nous disposons aussi de données de phénologie </w:t>
      </w:r>
      <w:r w:rsidR="00F61467">
        <w:rPr>
          <w:rStyle w:val="normaltextrun"/>
          <w:rFonts w:asciiTheme="minorHAnsi" w:hAnsiTheme="minorHAnsi" w:cstheme="minorHAnsi"/>
          <w:bCs/>
          <w:color w:val="000000"/>
        </w:rPr>
        <w:t xml:space="preserve">et fertilité </w:t>
      </w:r>
      <w:r w:rsidR="00D609BA">
        <w:rPr>
          <w:rStyle w:val="normaltextrun"/>
          <w:rFonts w:asciiTheme="minorHAnsi" w:hAnsiTheme="minorHAnsi" w:cstheme="minorHAnsi"/>
          <w:bCs/>
          <w:color w:val="000000"/>
        </w:rPr>
        <w:t xml:space="preserve">notées </w:t>
      </w:r>
      <w:r w:rsidR="007773B4">
        <w:rPr>
          <w:rStyle w:val="normaltextrun"/>
          <w:rFonts w:asciiTheme="minorHAnsi" w:hAnsiTheme="minorHAnsi" w:cstheme="minorHAnsi"/>
          <w:bCs/>
          <w:color w:val="000000"/>
        </w:rPr>
        <w:t xml:space="preserve">sur plusieurs années </w:t>
      </w:r>
      <w:r w:rsidR="00D609BA">
        <w:rPr>
          <w:rStyle w:val="normaltextrun"/>
          <w:rFonts w:asciiTheme="minorHAnsi" w:hAnsiTheme="minorHAnsi" w:cstheme="minorHAnsi"/>
          <w:bCs/>
          <w:color w:val="000000"/>
        </w:rPr>
        <w:t xml:space="preserve">sur le même panel, bouturé en pot, dans le cadre d’un précédent projet </w:t>
      </w:r>
      <w:r w:rsidR="00914ADD">
        <w:rPr>
          <w:rStyle w:val="normaltextrun"/>
          <w:rFonts w:asciiTheme="minorHAnsi" w:hAnsiTheme="minorHAnsi" w:cstheme="minorHAnsi"/>
          <w:bCs/>
          <w:color w:val="000000"/>
        </w:rPr>
        <w:t>financé par l’ANR</w:t>
      </w:r>
      <w:r w:rsidR="00D609BA">
        <w:rPr>
          <w:rStyle w:val="normaltextrun"/>
          <w:rFonts w:asciiTheme="minorHAnsi" w:hAnsiTheme="minorHAnsi" w:cstheme="minorHAnsi"/>
          <w:bCs/>
          <w:color w:val="000000"/>
        </w:rPr>
        <w:t>.</w:t>
      </w:r>
    </w:p>
    <w:p w:rsidR="00D609BA" w:rsidRPr="00D609BA" w:rsidRDefault="00D609BA" w:rsidP="00D609BA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</w:p>
    <w:p w:rsidR="002E70AA" w:rsidRDefault="00FE17F9" w:rsidP="00593E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593EA1">
        <w:rPr>
          <w:rStyle w:val="normaltextrun"/>
          <w:rFonts w:asciiTheme="minorHAnsi" w:hAnsiTheme="minorHAnsi" w:cstheme="minorHAnsi"/>
          <w:b/>
          <w:bCs/>
          <w:color w:val="000000"/>
        </w:rPr>
        <w:t>OBJECTIFS DU STAGE :</w:t>
      </w:r>
      <w:r w:rsidR="00C53D9D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</w:p>
    <w:p w:rsidR="00C53D9D" w:rsidRPr="00C53D9D" w:rsidRDefault="00950DEA" w:rsidP="00D609BA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  <w:r>
        <w:rPr>
          <w:rStyle w:val="normaltextrun"/>
          <w:rFonts w:asciiTheme="minorHAnsi" w:hAnsiTheme="minorHAnsi" w:cstheme="minorHAnsi"/>
          <w:bCs/>
          <w:color w:val="000000"/>
        </w:rPr>
        <w:t xml:space="preserve">Les </w:t>
      </w:r>
      <w:r w:rsidR="009E5B42">
        <w:rPr>
          <w:rStyle w:val="normaltextrun"/>
          <w:rFonts w:asciiTheme="minorHAnsi" w:hAnsiTheme="minorHAnsi" w:cstheme="minorHAnsi"/>
          <w:bCs/>
          <w:color w:val="000000"/>
        </w:rPr>
        <w:t xml:space="preserve">principaux </w:t>
      </w:r>
      <w:r>
        <w:rPr>
          <w:rStyle w:val="normaltextrun"/>
          <w:rFonts w:asciiTheme="minorHAnsi" w:hAnsiTheme="minorHAnsi" w:cstheme="minorHAnsi"/>
          <w:bCs/>
          <w:color w:val="000000"/>
        </w:rPr>
        <w:t xml:space="preserve">objectifs du stage sont d’acquérir des </w:t>
      </w:r>
      <w:r w:rsidR="00A32612">
        <w:rPr>
          <w:rStyle w:val="normaltextrun"/>
          <w:rFonts w:asciiTheme="minorHAnsi" w:hAnsiTheme="minorHAnsi" w:cstheme="minorHAnsi"/>
          <w:bCs/>
          <w:color w:val="000000"/>
        </w:rPr>
        <w:t xml:space="preserve">premières </w:t>
      </w:r>
      <w:r>
        <w:rPr>
          <w:rStyle w:val="normaltextrun"/>
          <w:rFonts w:asciiTheme="minorHAnsi" w:hAnsiTheme="minorHAnsi" w:cstheme="minorHAnsi"/>
          <w:bCs/>
          <w:color w:val="000000"/>
        </w:rPr>
        <w:t xml:space="preserve">données </w:t>
      </w:r>
      <w:proofErr w:type="spellStart"/>
      <w:r>
        <w:rPr>
          <w:rStyle w:val="normaltextrun"/>
          <w:rFonts w:asciiTheme="minorHAnsi" w:hAnsiTheme="minorHAnsi" w:cstheme="minorHAnsi"/>
          <w:bCs/>
          <w:color w:val="000000"/>
        </w:rPr>
        <w:t>phéno</w:t>
      </w:r>
      <w:r w:rsidR="002E70AA">
        <w:rPr>
          <w:rStyle w:val="normaltextrun"/>
          <w:rFonts w:asciiTheme="minorHAnsi" w:hAnsiTheme="minorHAnsi" w:cstheme="minorHAnsi"/>
          <w:bCs/>
          <w:color w:val="000000"/>
        </w:rPr>
        <w:t>logiques</w:t>
      </w:r>
      <w:proofErr w:type="spellEnd"/>
      <w:r w:rsidR="000C141B">
        <w:rPr>
          <w:rStyle w:val="normaltextrun"/>
          <w:rFonts w:asciiTheme="minorHAnsi" w:hAnsiTheme="minorHAnsi" w:cstheme="minorHAnsi"/>
          <w:bCs/>
          <w:color w:val="000000"/>
        </w:rPr>
        <w:t xml:space="preserve"> sur ce panel </w:t>
      </w:r>
      <w:r w:rsidR="00310922">
        <w:rPr>
          <w:rStyle w:val="normaltextrun"/>
          <w:rFonts w:asciiTheme="minorHAnsi" w:hAnsiTheme="minorHAnsi" w:cstheme="minorHAnsi"/>
          <w:bCs/>
          <w:color w:val="000000"/>
        </w:rPr>
        <w:t>au champ</w:t>
      </w:r>
      <w:r w:rsidR="009E5B42">
        <w:rPr>
          <w:rStyle w:val="normaltextrun"/>
          <w:rFonts w:asciiTheme="minorHAnsi" w:hAnsiTheme="minorHAnsi" w:cstheme="minorHAnsi"/>
          <w:bCs/>
          <w:color w:val="000000"/>
        </w:rPr>
        <w:t xml:space="preserve">, et </w:t>
      </w:r>
      <w:r w:rsidR="00B113F3">
        <w:rPr>
          <w:rStyle w:val="normaltextrun"/>
          <w:rFonts w:asciiTheme="minorHAnsi" w:hAnsiTheme="minorHAnsi" w:cstheme="minorHAnsi"/>
          <w:bCs/>
          <w:color w:val="000000"/>
        </w:rPr>
        <w:t>de trouver les régions génomiques associées à leur variabilité par analyse d’association génotype-phénotype (GWAS)</w:t>
      </w:r>
      <w:r w:rsidR="009E5B42">
        <w:rPr>
          <w:rStyle w:val="normaltextrun"/>
          <w:rFonts w:asciiTheme="minorHAnsi" w:hAnsiTheme="minorHAnsi" w:cstheme="minorHAnsi"/>
          <w:bCs/>
          <w:color w:val="000000"/>
        </w:rPr>
        <w:t>.</w:t>
      </w:r>
    </w:p>
    <w:p w:rsidR="00FE17F9" w:rsidRPr="00593EA1" w:rsidRDefault="00FE17F9" w:rsidP="00593E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:rsidR="00FE17F9" w:rsidRDefault="00FE17F9" w:rsidP="00593E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593EA1">
        <w:rPr>
          <w:rStyle w:val="normaltextrun"/>
          <w:rFonts w:asciiTheme="minorHAnsi" w:hAnsiTheme="minorHAnsi" w:cstheme="minorHAnsi"/>
          <w:b/>
          <w:bCs/>
        </w:rPr>
        <w:t>PROGRAMME DU STAGE</w:t>
      </w:r>
      <w:r w:rsidR="00CC79BF" w:rsidRPr="00CC79BF">
        <w:rPr>
          <w:rStyle w:val="eop"/>
          <w:rFonts w:asciiTheme="minorHAnsi" w:hAnsiTheme="minorHAnsi" w:cstheme="minorHAnsi"/>
          <w:b/>
        </w:rPr>
        <w:t> :</w:t>
      </w:r>
    </w:p>
    <w:p w:rsidR="000C5DA1" w:rsidRDefault="000C5DA1" w:rsidP="009E5B42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L’</w:t>
      </w:r>
      <w:proofErr w:type="spellStart"/>
      <w:r>
        <w:rPr>
          <w:rStyle w:val="eop"/>
          <w:rFonts w:asciiTheme="minorHAnsi" w:hAnsiTheme="minorHAnsi" w:cstheme="minorHAnsi"/>
        </w:rPr>
        <w:t>étudiant.e</w:t>
      </w:r>
      <w:proofErr w:type="spellEnd"/>
      <w:r>
        <w:rPr>
          <w:rStyle w:val="eop"/>
          <w:rFonts w:asciiTheme="minorHAnsi" w:hAnsiTheme="minorHAnsi" w:cstheme="minorHAnsi"/>
        </w:rPr>
        <w:t xml:space="preserve"> sera </w:t>
      </w:r>
      <w:proofErr w:type="spellStart"/>
      <w:proofErr w:type="gramStart"/>
      <w:r>
        <w:rPr>
          <w:rStyle w:val="eop"/>
          <w:rFonts w:asciiTheme="minorHAnsi" w:hAnsiTheme="minorHAnsi" w:cstheme="minorHAnsi"/>
        </w:rPr>
        <w:t>chargé</w:t>
      </w:r>
      <w:r w:rsidR="00216D1C">
        <w:rPr>
          <w:rStyle w:val="eop"/>
          <w:rFonts w:asciiTheme="minorHAnsi" w:hAnsiTheme="minorHAnsi" w:cstheme="minorHAnsi"/>
        </w:rPr>
        <w:t>.</w:t>
      </w:r>
      <w:r>
        <w:rPr>
          <w:rStyle w:val="eop"/>
          <w:rFonts w:asciiTheme="minorHAnsi" w:hAnsiTheme="minorHAnsi" w:cstheme="minorHAnsi"/>
        </w:rPr>
        <w:t>e</w:t>
      </w:r>
      <w:proofErr w:type="spellEnd"/>
      <w:proofErr w:type="gramEnd"/>
      <w:r>
        <w:rPr>
          <w:rStyle w:val="eop"/>
          <w:rFonts w:asciiTheme="minorHAnsi" w:hAnsiTheme="minorHAnsi" w:cstheme="minorHAnsi"/>
        </w:rPr>
        <w:t xml:space="preserve"> </w:t>
      </w:r>
      <w:r w:rsidR="00216D1C">
        <w:rPr>
          <w:rStyle w:val="eop"/>
          <w:rFonts w:asciiTheme="minorHAnsi" w:hAnsiTheme="minorHAnsi" w:cstheme="minorHAnsi"/>
        </w:rPr>
        <w:t xml:space="preserve">de la </w:t>
      </w:r>
      <w:r w:rsidR="00216D1C" w:rsidRPr="00F53C9F">
        <w:rPr>
          <w:rStyle w:val="eop"/>
          <w:rFonts w:asciiTheme="minorHAnsi" w:hAnsiTheme="minorHAnsi" w:cstheme="minorHAnsi"/>
          <w:b/>
        </w:rPr>
        <w:t>notation de</w:t>
      </w:r>
      <w:r w:rsidR="00B113F3" w:rsidRPr="00F53C9F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3 stades </w:t>
      </w:r>
      <w:proofErr w:type="spellStart"/>
      <w:r w:rsidR="00216D1C" w:rsidRPr="00F53C9F">
        <w:rPr>
          <w:rStyle w:val="normaltextrun"/>
          <w:rFonts w:asciiTheme="minorHAnsi" w:hAnsiTheme="minorHAnsi" w:cstheme="minorHAnsi"/>
          <w:b/>
          <w:bCs/>
          <w:color w:val="000000"/>
        </w:rPr>
        <w:t>phénologiques</w:t>
      </w:r>
      <w:proofErr w:type="spellEnd"/>
      <w:r w:rsidR="00B113F3">
        <w:rPr>
          <w:rStyle w:val="normaltextrun"/>
          <w:rFonts w:asciiTheme="minorHAnsi" w:hAnsiTheme="minorHAnsi" w:cstheme="minorHAnsi"/>
          <w:bCs/>
          <w:color w:val="000000"/>
        </w:rPr>
        <w:t xml:space="preserve"> importants </w:t>
      </w:r>
      <w:r w:rsidR="00310922">
        <w:rPr>
          <w:rStyle w:val="normaltextrun"/>
          <w:rFonts w:asciiTheme="minorHAnsi" w:hAnsiTheme="minorHAnsi" w:cstheme="minorHAnsi"/>
          <w:bCs/>
          <w:color w:val="000000"/>
        </w:rPr>
        <w:t>chez</w:t>
      </w:r>
      <w:r w:rsidR="00B113F3">
        <w:rPr>
          <w:rStyle w:val="normaltextrun"/>
          <w:rFonts w:asciiTheme="minorHAnsi" w:hAnsiTheme="minorHAnsi" w:cstheme="minorHAnsi"/>
          <w:bCs/>
          <w:color w:val="000000"/>
        </w:rPr>
        <w:t xml:space="preserve"> la vigne (débourrement, floraison, et véraison = début de maturation des baies) </w:t>
      </w:r>
      <w:r w:rsidR="00B113F3" w:rsidRPr="00F53C9F">
        <w:rPr>
          <w:rStyle w:val="normaltextrun"/>
          <w:rFonts w:asciiTheme="minorHAnsi" w:hAnsiTheme="minorHAnsi" w:cstheme="minorHAnsi"/>
          <w:b/>
          <w:bCs/>
          <w:color w:val="000000"/>
        </w:rPr>
        <w:t>et</w:t>
      </w:r>
      <w:r w:rsidR="00216D1C" w:rsidRPr="00F53C9F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de</w:t>
      </w:r>
      <w:r w:rsidR="00B113F3" w:rsidRPr="00F53C9F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la fertilité</w:t>
      </w:r>
      <w:r w:rsidR="00216D1C">
        <w:rPr>
          <w:rStyle w:val="eop"/>
          <w:rFonts w:asciiTheme="minorHAnsi" w:hAnsiTheme="minorHAnsi" w:cstheme="minorHAnsi"/>
        </w:rPr>
        <w:t>, pour l’ensemble du panel</w:t>
      </w:r>
      <w:r>
        <w:rPr>
          <w:rStyle w:val="eop"/>
          <w:rFonts w:asciiTheme="minorHAnsi" w:hAnsiTheme="minorHAnsi" w:cstheme="minorHAnsi"/>
        </w:rPr>
        <w:t xml:space="preserve"> </w:t>
      </w:r>
      <w:r w:rsidR="00310922">
        <w:rPr>
          <w:rStyle w:val="eop"/>
          <w:rFonts w:asciiTheme="minorHAnsi" w:hAnsiTheme="minorHAnsi" w:cstheme="minorHAnsi"/>
        </w:rPr>
        <w:t>dans</w:t>
      </w:r>
      <w:r>
        <w:rPr>
          <w:rStyle w:val="eop"/>
          <w:rFonts w:asciiTheme="minorHAnsi" w:hAnsiTheme="minorHAnsi" w:cstheme="minorHAnsi"/>
        </w:rPr>
        <w:t xml:space="preserve"> 2 blocs, avec l’appui de techniciens de recherche INRAE</w:t>
      </w:r>
      <w:r w:rsidR="00216D1C">
        <w:rPr>
          <w:rStyle w:val="eop"/>
          <w:rFonts w:asciiTheme="minorHAnsi" w:hAnsiTheme="minorHAnsi" w:cstheme="minorHAnsi"/>
        </w:rPr>
        <w:t>. Il/elle utilisera</w:t>
      </w:r>
      <w:r>
        <w:rPr>
          <w:rStyle w:val="eop"/>
          <w:rFonts w:asciiTheme="minorHAnsi" w:hAnsiTheme="minorHAnsi" w:cstheme="minorHAnsi"/>
        </w:rPr>
        <w:t xml:space="preserve"> l’interface de saisie Adonis</w:t>
      </w:r>
      <w:r w:rsidR="00216D1C">
        <w:rPr>
          <w:rStyle w:val="eop"/>
          <w:rFonts w:asciiTheme="minorHAnsi" w:hAnsiTheme="minorHAnsi" w:cstheme="minorHAnsi"/>
        </w:rPr>
        <w:t xml:space="preserve"> développé par INRAE</w:t>
      </w:r>
      <w:r>
        <w:rPr>
          <w:rStyle w:val="eop"/>
          <w:rFonts w:asciiTheme="minorHAnsi" w:hAnsiTheme="minorHAnsi" w:cstheme="minorHAnsi"/>
        </w:rPr>
        <w:t xml:space="preserve">. Ce travail de terrain se déroulera </w:t>
      </w:r>
      <w:r w:rsidR="009E5B42">
        <w:rPr>
          <w:rStyle w:val="eop"/>
          <w:rFonts w:asciiTheme="minorHAnsi" w:hAnsiTheme="minorHAnsi" w:cstheme="minorHAnsi"/>
        </w:rPr>
        <w:t xml:space="preserve">à </w:t>
      </w:r>
      <w:proofErr w:type="spellStart"/>
      <w:r w:rsidR="009E5B42">
        <w:rPr>
          <w:rStyle w:val="eop"/>
          <w:rFonts w:asciiTheme="minorHAnsi" w:hAnsiTheme="minorHAnsi" w:cstheme="minorHAnsi"/>
        </w:rPr>
        <w:t>Pech</w:t>
      </w:r>
      <w:proofErr w:type="spellEnd"/>
      <w:r w:rsidR="009E5B42">
        <w:rPr>
          <w:rStyle w:val="eop"/>
          <w:rFonts w:asciiTheme="minorHAnsi" w:hAnsiTheme="minorHAnsi" w:cstheme="minorHAnsi"/>
        </w:rPr>
        <w:t xml:space="preserve">-Rouge </w:t>
      </w:r>
      <w:r>
        <w:rPr>
          <w:rStyle w:val="eop"/>
          <w:rFonts w:asciiTheme="minorHAnsi" w:hAnsiTheme="minorHAnsi" w:cstheme="minorHAnsi"/>
        </w:rPr>
        <w:t>en mars (débourrement), mai (fertilité et flo</w:t>
      </w:r>
      <w:r w:rsidR="009E5B42">
        <w:rPr>
          <w:rStyle w:val="eop"/>
          <w:rFonts w:asciiTheme="minorHAnsi" w:hAnsiTheme="minorHAnsi" w:cstheme="minorHAnsi"/>
        </w:rPr>
        <w:t>raison), et juillet (véraison).</w:t>
      </w:r>
    </w:p>
    <w:p w:rsidR="009E5B42" w:rsidRDefault="000C5DA1" w:rsidP="009E5B42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  <w:r>
        <w:rPr>
          <w:rStyle w:val="eop"/>
          <w:rFonts w:asciiTheme="minorHAnsi" w:hAnsiTheme="minorHAnsi" w:cstheme="minorHAnsi"/>
        </w:rPr>
        <w:t>L’</w:t>
      </w:r>
      <w:proofErr w:type="spellStart"/>
      <w:r>
        <w:rPr>
          <w:rStyle w:val="eop"/>
          <w:rFonts w:asciiTheme="minorHAnsi" w:hAnsiTheme="minorHAnsi" w:cstheme="minorHAnsi"/>
        </w:rPr>
        <w:t>étudiant.e</w:t>
      </w:r>
      <w:proofErr w:type="spellEnd"/>
      <w:r>
        <w:rPr>
          <w:rStyle w:val="eop"/>
          <w:rFonts w:asciiTheme="minorHAnsi" w:hAnsiTheme="minorHAnsi" w:cstheme="minorHAnsi"/>
        </w:rPr>
        <w:t xml:space="preserve"> assurera</w:t>
      </w:r>
      <w:r w:rsidR="000F5925">
        <w:rPr>
          <w:rStyle w:val="eop"/>
          <w:rFonts w:asciiTheme="minorHAnsi" w:hAnsiTheme="minorHAnsi" w:cstheme="minorHAnsi"/>
        </w:rPr>
        <w:t xml:space="preserve"> également</w:t>
      </w:r>
      <w:r>
        <w:rPr>
          <w:rStyle w:val="eop"/>
          <w:rFonts w:asciiTheme="minorHAnsi" w:hAnsiTheme="minorHAnsi" w:cstheme="minorHAnsi"/>
        </w:rPr>
        <w:t xml:space="preserve"> les </w:t>
      </w:r>
      <w:r w:rsidR="002C6D18" w:rsidRPr="00AE09E2">
        <w:rPr>
          <w:rStyle w:val="eop"/>
          <w:rFonts w:asciiTheme="minorHAnsi" w:hAnsiTheme="minorHAnsi" w:cstheme="minorHAnsi"/>
          <w:b/>
        </w:rPr>
        <w:t>analyses statistiques</w:t>
      </w:r>
      <w:r w:rsidR="002C6D18">
        <w:rPr>
          <w:rStyle w:val="eop"/>
          <w:rFonts w:asciiTheme="minorHAnsi" w:hAnsiTheme="minorHAnsi" w:cstheme="minorHAnsi"/>
        </w:rPr>
        <w:t xml:space="preserve"> </w:t>
      </w:r>
      <w:r w:rsidR="009E5B42">
        <w:rPr>
          <w:rStyle w:val="eop"/>
          <w:rFonts w:asciiTheme="minorHAnsi" w:hAnsiTheme="minorHAnsi" w:cstheme="minorHAnsi"/>
        </w:rPr>
        <w:t>des données obtenues</w:t>
      </w:r>
      <w:r w:rsidR="009E5B42">
        <w:rPr>
          <w:rStyle w:val="normaltextrun"/>
          <w:rFonts w:asciiTheme="minorHAnsi" w:hAnsiTheme="minorHAnsi" w:cstheme="minorHAnsi"/>
          <w:bCs/>
          <w:color w:val="000000"/>
        </w:rPr>
        <w:t> </w:t>
      </w:r>
      <w:r w:rsidR="00450D5E">
        <w:rPr>
          <w:rStyle w:val="normaltextrun"/>
          <w:rFonts w:asciiTheme="minorHAnsi" w:hAnsiTheme="minorHAnsi" w:cstheme="minorHAnsi"/>
          <w:bCs/>
          <w:color w:val="000000"/>
        </w:rPr>
        <w:t xml:space="preserve">avec R </w:t>
      </w:r>
      <w:r w:rsidR="009E5B42">
        <w:rPr>
          <w:rStyle w:val="normaltextrun"/>
          <w:rFonts w:asciiTheme="minorHAnsi" w:hAnsiTheme="minorHAnsi" w:cstheme="minorHAnsi"/>
          <w:bCs/>
          <w:color w:val="000000"/>
        </w:rPr>
        <w:t xml:space="preserve">: </w:t>
      </w:r>
    </w:p>
    <w:p w:rsidR="009E5B42" w:rsidRDefault="009E5B42" w:rsidP="009E5B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</w:rPr>
      </w:pPr>
      <w:r>
        <w:rPr>
          <w:rStyle w:val="normaltextrun"/>
          <w:rFonts w:asciiTheme="minorHAnsi" w:hAnsiTheme="minorHAnsi" w:cstheme="minorHAnsi"/>
          <w:bCs/>
          <w:color w:val="000000"/>
        </w:rPr>
        <w:t xml:space="preserve">- </w:t>
      </w:r>
      <w:r>
        <w:rPr>
          <w:rStyle w:val="eop"/>
          <w:rFonts w:asciiTheme="minorHAnsi" w:hAnsiTheme="minorHAnsi" w:cstheme="minorHAnsi"/>
        </w:rPr>
        <w:t>exploration des données</w:t>
      </w:r>
      <w:r>
        <w:rPr>
          <w:rStyle w:val="normaltextrun"/>
          <w:rFonts w:asciiTheme="minorHAnsi" w:hAnsiTheme="minorHAnsi" w:cstheme="minorHAnsi"/>
          <w:bCs/>
          <w:color w:val="000000"/>
        </w:rPr>
        <w:t xml:space="preserve"> (distributions, corrélations</w:t>
      </w:r>
      <w:r w:rsidR="00310922">
        <w:rPr>
          <w:rStyle w:val="normaltextrun"/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="00310922">
        <w:rPr>
          <w:rStyle w:val="normaltextrun"/>
          <w:rFonts w:asciiTheme="minorHAnsi" w:hAnsiTheme="minorHAnsi" w:cstheme="minorHAnsi"/>
          <w:bCs/>
          <w:color w:val="000000"/>
        </w:rPr>
        <w:t>outliers</w:t>
      </w:r>
      <w:proofErr w:type="spellEnd"/>
      <w:r>
        <w:rPr>
          <w:rStyle w:val="normaltextrun"/>
          <w:rFonts w:asciiTheme="minorHAnsi" w:hAnsiTheme="minorHAnsi" w:cstheme="minorHAnsi"/>
          <w:bCs/>
          <w:color w:val="000000"/>
        </w:rPr>
        <w:t>)</w:t>
      </w:r>
    </w:p>
    <w:p w:rsidR="009E5B42" w:rsidRDefault="009E5B42" w:rsidP="009E5B4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Cs/>
          <w:color w:val="000000"/>
        </w:rPr>
        <w:t xml:space="preserve">- </w:t>
      </w:r>
      <w:r w:rsidR="003038E0">
        <w:rPr>
          <w:rStyle w:val="normaltextrun"/>
          <w:rFonts w:asciiTheme="minorHAnsi" w:hAnsiTheme="minorHAnsi" w:cstheme="minorHAnsi"/>
          <w:bCs/>
          <w:color w:val="000000"/>
        </w:rPr>
        <w:t>sélection de modèle</w:t>
      </w:r>
      <w:r w:rsidR="00310922">
        <w:rPr>
          <w:rStyle w:val="normaltextrun"/>
          <w:rFonts w:asciiTheme="minorHAnsi" w:hAnsiTheme="minorHAnsi" w:cstheme="minorHAnsi"/>
          <w:bCs/>
          <w:color w:val="000000"/>
        </w:rPr>
        <w:t>s</w:t>
      </w:r>
      <w:r w:rsidR="003038E0">
        <w:rPr>
          <w:rStyle w:val="normaltextrun"/>
          <w:rFonts w:asciiTheme="minorHAnsi" w:hAnsiTheme="minorHAnsi" w:cstheme="minorHAnsi"/>
          <w:bCs/>
          <w:color w:val="000000"/>
        </w:rPr>
        <w:t xml:space="preserve"> mixte</w:t>
      </w:r>
      <w:r w:rsidR="00310922">
        <w:rPr>
          <w:rStyle w:val="normaltextrun"/>
          <w:rFonts w:asciiTheme="minorHAnsi" w:hAnsiTheme="minorHAnsi" w:cstheme="minorHAnsi"/>
          <w:bCs/>
          <w:color w:val="000000"/>
        </w:rPr>
        <w:t>s</w:t>
      </w:r>
      <w:r w:rsidR="003038E0">
        <w:rPr>
          <w:rStyle w:val="normaltextrun"/>
          <w:rFonts w:asciiTheme="minorHAnsi" w:hAnsiTheme="minorHAnsi" w:cstheme="minorHAnsi"/>
          <w:bCs/>
          <w:color w:val="000000"/>
        </w:rPr>
        <w:t xml:space="preserve"> pour l’</w:t>
      </w:r>
      <w:r w:rsidR="00B113F3">
        <w:rPr>
          <w:rStyle w:val="normaltextrun"/>
          <w:rFonts w:asciiTheme="minorHAnsi" w:hAnsiTheme="minorHAnsi" w:cstheme="minorHAnsi"/>
          <w:bCs/>
          <w:color w:val="000000"/>
        </w:rPr>
        <w:t>estimation des composantes de la variance</w:t>
      </w:r>
      <w:r>
        <w:rPr>
          <w:rStyle w:val="normaltextrun"/>
          <w:rFonts w:asciiTheme="minorHAnsi" w:hAnsiTheme="minorHAnsi" w:cstheme="minorHAnsi"/>
          <w:bCs/>
          <w:color w:val="000000"/>
        </w:rPr>
        <w:t>, de l’héritabilité,</w:t>
      </w:r>
      <w:r w:rsidR="00B113F3">
        <w:rPr>
          <w:rStyle w:val="normaltextrun"/>
          <w:rFonts w:asciiTheme="minorHAnsi" w:hAnsiTheme="minorHAnsi" w:cstheme="minorHAnsi"/>
          <w:bCs/>
          <w:color w:val="000000"/>
        </w:rPr>
        <w:t xml:space="preserve"> et de la valeur génétique (BLUP)</w:t>
      </w:r>
    </w:p>
    <w:p w:rsidR="009E5B42" w:rsidRDefault="009E5B42" w:rsidP="009E5B4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- </w:t>
      </w:r>
      <w:r w:rsidR="002C6D18">
        <w:rPr>
          <w:rStyle w:val="eop"/>
          <w:rFonts w:asciiTheme="minorHAnsi" w:hAnsiTheme="minorHAnsi" w:cstheme="minorHAnsi"/>
        </w:rPr>
        <w:t>GWAS</w:t>
      </w:r>
      <w:r w:rsidR="000C5DA1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450D5E">
        <w:rPr>
          <w:rStyle w:val="eop"/>
          <w:rFonts w:asciiTheme="minorHAnsi" w:hAnsiTheme="minorHAnsi" w:cstheme="minorHAnsi"/>
        </w:rPr>
        <w:t>unilocus</w:t>
      </w:r>
      <w:proofErr w:type="spellEnd"/>
      <w:r w:rsidR="000C5DA1">
        <w:rPr>
          <w:rStyle w:val="eop"/>
          <w:rFonts w:asciiTheme="minorHAnsi" w:hAnsiTheme="minorHAnsi" w:cstheme="minorHAnsi"/>
        </w:rPr>
        <w:t xml:space="preserve"> </w:t>
      </w:r>
      <w:r w:rsidR="00D81EBE">
        <w:rPr>
          <w:rStyle w:val="eop"/>
          <w:rFonts w:asciiTheme="minorHAnsi" w:hAnsiTheme="minorHAnsi" w:cstheme="minorHAnsi"/>
        </w:rPr>
        <w:t>(</w:t>
      </w:r>
      <w:r w:rsidR="00450D5E">
        <w:rPr>
          <w:rStyle w:val="eop"/>
          <w:rFonts w:asciiTheme="minorHAnsi" w:hAnsiTheme="minorHAnsi" w:cstheme="minorHAnsi"/>
        </w:rPr>
        <w:t xml:space="preserve">avec </w:t>
      </w:r>
      <w:r w:rsidR="00450D5E">
        <w:rPr>
          <w:rFonts w:ascii="TimesNewRomanPSMT" w:hAnsi="TimesNewRomanPSMT" w:cs="TimesNewRomanPSMT"/>
        </w:rPr>
        <w:t xml:space="preserve">MM4LMM, Laporte et al., 2022) </w:t>
      </w:r>
      <w:r w:rsidR="000C5DA1">
        <w:rPr>
          <w:rStyle w:val="eop"/>
          <w:rFonts w:asciiTheme="minorHAnsi" w:hAnsiTheme="minorHAnsi" w:cstheme="minorHAnsi"/>
        </w:rPr>
        <w:t xml:space="preserve">et </w:t>
      </w:r>
      <w:proofErr w:type="spellStart"/>
      <w:r w:rsidR="000C5DA1">
        <w:rPr>
          <w:rStyle w:val="eop"/>
          <w:rFonts w:asciiTheme="minorHAnsi" w:hAnsiTheme="minorHAnsi" w:cstheme="minorHAnsi"/>
        </w:rPr>
        <w:t>multi</w:t>
      </w:r>
      <w:r w:rsidR="00450D5E">
        <w:rPr>
          <w:rStyle w:val="eop"/>
          <w:rFonts w:asciiTheme="minorHAnsi" w:hAnsiTheme="minorHAnsi" w:cstheme="minorHAnsi"/>
        </w:rPr>
        <w:t>locus</w:t>
      </w:r>
      <w:proofErr w:type="spellEnd"/>
      <w:r w:rsidR="00450D5E">
        <w:rPr>
          <w:rStyle w:val="eop"/>
          <w:rFonts w:asciiTheme="minorHAnsi" w:hAnsiTheme="minorHAnsi" w:cstheme="minorHAnsi"/>
        </w:rPr>
        <w:t xml:space="preserve"> (avec </w:t>
      </w:r>
      <w:proofErr w:type="spellStart"/>
      <w:r w:rsidR="00450D5E">
        <w:rPr>
          <w:rStyle w:val="eop"/>
          <w:rFonts w:asciiTheme="minorHAnsi" w:hAnsiTheme="minorHAnsi" w:cstheme="minorHAnsi"/>
        </w:rPr>
        <w:t>mlmm</w:t>
      </w:r>
      <w:proofErr w:type="spellEnd"/>
      <w:r w:rsidR="00450D5E">
        <w:rPr>
          <w:rStyle w:val="eop"/>
          <w:rFonts w:asciiTheme="minorHAnsi" w:hAnsiTheme="minorHAnsi" w:cstheme="minorHAnsi"/>
        </w:rPr>
        <w:t>, Segura et al., 2012)</w:t>
      </w:r>
    </w:p>
    <w:p w:rsidR="000C5DA1" w:rsidRPr="00B113F3" w:rsidRDefault="00B113F3" w:rsidP="009E5B4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Cs/>
          <w:color w:val="000000"/>
        </w:rPr>
      </w:pPr>
      <w:r>
        <w:rPr>
          <w:rStyle w:val="normaltextrun"/>
          <w:rFonts w:asciiTheme="minorHAnsi" w:hAnsiTheme="minorHAnsi" w:cstheme="minorHAnsi"/>
          <w:bCs/>
          <w:color w:val="000000"/>
        </w:rPr>
        <w:t xml:space="preserve">Des scripts R sont déjà disponibles </w:t>
      </w:r>
      <w:r w:rsidR="009E5B42">
        <w:rPr>
          <w:rStyle w:val="normaltextrun"/>
          <w:rFonts w:asciiTheme="minorHAnsi" w:hAnsiTheme="minorHAnsi" w:cstheme="minorHAnsi"/>
          <w:bCs/>
          <w:color w:val="000000"/>
        </w:rPr>
        <w:t xml:space="preserve">dans l’équipe </w:t>
      </w:r>
      <w:r>
        <w:rPr>
          <w:rStyle w:val="normaltextrun"/>
          <w:rFonts w:asciiTheme="minorHAnsi" w:hAnsiTheme="minorHAnsi" w:cstheme="minorHAnsi"/>
          <w:bCs/>
          <w:color w:val="000000"/>
        </w:rPr>
        <w:t>pour ces différentes étapes d’analyse statistique</w:t>
      </w:r>
      <w:r w:rsidR="00216D1C">
        <w:rPr>
          <w:rStyle w:val="normaltextrun"/>
          <w:rFonts w:asciiTheme="minorHAnsi" w:hAnsiTheme="minorHAnsi" w:cstheme="minorHAnsi"/>
          <w:bCs/>
          <w:color w:val="000000"/>
        </w:rPr>
        <w:t xml:space="preserve">, </w:t>
      </w:r>
      <w:r w:rsidR="00241024">
        <w:rPr>
          <w:rStyle w:val="normaltextrun"/>
          <w:rFonts w:asciiTheme="minorHAnsi" w:hAnsiTheme="minorHAnsi" w:cstheme="minorHAnsi"/>
          <w:bCs/>
          <w:color w:val="000000"/>
        </w:rPr>
        <w:t>il faudra seulement les adapter</w:t>
      </w:r>
      <w:r w:rsidR="00216D1C">
        <w:rPr>
          <w:rStyle w:val="normaltextrun"/>
          <w:rFonts w:asciiTheme="minorHAnsi" w:hAnsiTheme="minorHAnsi" w:cstheme="minorHAnsi"/>
          <w:bCs/>
          <w:color w:val="000000"/>
        </w:rPr>
        <w:t xml:space="preserve"> aux variables mesurées pendant le stage.</w:t>
      </w:r>
    </w:p>
    <w:p w:rsidR="00310922" w:rsidRDefault="009E5B42" w:rsidP="00CC79BF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lastRenderedPageBreak/>
        <w:t xml:space="preserve">Enfin, le/la stagiaire </w:t>
      </w:r>
      <w:r w:rsidR="00C53381">
        <w:rPr>
          <w:rStyle w:val="eop"/>
          <w:rFonts w:asciiTheme="minorHAnsi" w:hAnsiTheme="minorHAnsi" w:cstheme="minorHAnsi"/>
        </w:rPr>
        <w:t>pourra</w:t>
      </w:r>
      <w:r w:rsidR="00241024">
        <w:rPr>
          <w:rStyle w:val="eop"/>
          <w:rFonts w:asciiTheme="minorHAnsi" w:hAnsiTheme="minorHAnsi" w:cstheme="minorHAnsi"/>
        </w:rPr>
        <w:t xml:space="preserve">, selon le temps </w:t>
      </w:r>
      <w:r w:rsidR="00310922">
        <w:rPr>
          <w:rStyle w:val="eop"/>
          <w:rFonts w:asciiTheme="minorHAnsi" w:hAnsiTheme="minorHAnsi" w:cstheme="minorHAnsi"/>
        </w:rPr>
        <w:t>disponible :</w:t>
      </w:r>
      <w:r w:rsidR="00C53381">
        <w:rPr>
          <w:rStyle w:val="eop"/>
          <w:rFonts w:asciiTheme="minorHAnsi" w:hAnsiTheme="minorHAnsi" w:cstheme="minorHAnsi"/>
        </w:rPr>
        <w:t xml:space="preserve"> </w:t>
      </w:r>
    </w:p>
    <w:p w:rsidR="006D2B90" w:rsidRDefault="00310922" w:rsidP="003109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- </w:t>
      </w:r>
      <w:r w:rsidR="00C53381">
        <w:rPr>
          <w:rStyle w:val="eop"/>
          <w:rFonts w:asciiTheme="minorHAnsi" w:hAnsiTheme="minorHAnsi" w:cstheme="minorHAnsi"/>
        </w:rPr>
        <w:t>réaliser</w:t>
      </w:r>
      <w:r w:rsidR="00241024">
        <w:rPr>
          <w:rStyle w:val="eop"/>
          <w:rFonts w:asciiTheme="minorHAnsi" w:hAnsiTheme="minorHAnsi" w:cstheme="minorHAnsi"/>
        </w:rPr>
        <w:t xml:space="preserve"> </w:t>
      </w:r>
      <w:r w:rsidR="009E5B42">
        <w:rPr>
          <w:rStyle w:val="eop"/>
          <w:rFonts w:asciiTheme="minorHAnsi" w:hAnsiTheme="minorHAnsi" w:cstheme="minorHAnsi"/>
        </w:rPr>
        <w:t>les mêmes analyses statistiques sur les</w:t>
      </w:r>
      <w:r w:rsidR="002C6D18">
        <w:rPr>
          <w:rStyle w:val="eop"/>
          <w:rFonts w:asciiTheme="minorHAnsi" w:hAnsiTheme="minorHAnsi" w:cstheme="minorHAnsi"/>
        </w:rPr>
        <w:t xml:space="preserve"> données </w:t>
      </w:r>
      <w:r w:rsidR="00241024">
        <w:rPr>
          <w:rStyle w:val="eop"/>
          <w:rFonts w:asciiTheme="minorHAnsi" w:hAnsiTheme="minorHAnsi" w:cstheme="minorHAnsi"/>
        </w:rPr>
        <w:t>déjà obtenues</w:t>
      </w:r>
      <w:r w:rsidR="002C6D18">
        <w:rPr>
          <w:rStyle w:val="eop"/>
          <w:rFonts w:asciiTheme="minorHAnsi" w:hAnsiTheme="minorHAnsi" w:cstheme="minorHAnsi"/>
        </w:rPr>
        <w:t xml:space="preserve"> en pots</w:t>
      </w:r>
      <w:r>
        <w:rPr>
          <w:rStyle w:val="eop"/>
          <w:rFonts w:asciiTheme="minorHAnsi" w:hAnsiTheme="minorHAnsi" w:cstheme="minorHAnsi"/>
        </w:rPr>
        <w:t xml:space="preserve"> pour ces caractères, pour</w:t>
      </w:r>
      <w:r w:rsidR="00C53381">
        <w:rPr>
          <w:rStyle w:val="eop"/>
          <w:rFonts w:asciiTheme="minorHAnsi" w:hAnsiTheme="minorHAnsi" w:cstheme="minorHAnsi"/>
        </w:rPr>
        <w:t xml:space="preserve"> comparer les QTL trouvés entre champ et pots.</w:t>
      </w:r>
    </w:p>
    <w:p w:rsidR="00310922" w:rsidRDefault="00310922" w:rsidP="003109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- rechercher les gènes candidats pour les principaux QTL détectés</w:t>
      </w:r>
    </w:p>
    <w:p w:rsidR="00635466" w:rsidRDefault="00635466" w:rsidP="00593E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:rsidR="00635466" w:rsidRPr="00635466" w:rsidRDefault="00635466" w:rsidP="00593EA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</w:rPr>
      </w:pPr>
      <w:r w:rsidRPr="00635466">
        <w:rPr>
          <w:rStyle w:val="eop"/>
          <w:rFonts w:asciiTheme="minorHAnsi" w:hAnsiTheme="minorHAnsi" w:cstheme="minorHAnsi"/>
          <w:b/>
        </w:rPr>
        <w:t>PLANNING PREVISIONNEL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794"/>
        <w:gridCol w:w="794"/>
        <w:gridCol w:w="794"/>
        <w:gridCol w:w="794"/>
        <w:gridCol w:w="794"/>
        <w:gridCol w:w="794"/>
      </w:tblGrid>
      <w:tr w:rsidR="006D2B90" w:rsidTr="006D2B90">
        <w:tc>
          <w:tcPr>
            <w:tcW w:w="4820" w:type="dxa"/>
          </w:tcPr>
          <w:p w:rsidR="006D2B90" w:rsidRDefault="006D2B90" w:rsidP="00593E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mars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avril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juin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juillet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août</w:t>
            </w:r>
          </w:p>
        </w:tc>
      </w:tr>
      <w:tr w:rsidR="006D2B90" w:rsidTr="006D2B90">
        <w:tc>
          <w:tcPr>
            <w:tcW w:w="4820" w:type="dxa"/>
          </w:tcPr>
          <w:p w:rsidR="006D2B90" w:rsidRDefault="006D2B90" w:rsidP="00593E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Etude bibliographique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D2B90" w:rsidTr="006D2B90">
        <w:tc>
          <w:tcPr>
            <w:tcW w:w="4820" w:type="dxa"/>
          </w:tcPr>
          <w:p w:rsidR="006D2B90" w:rsidRDefault="006D2B90" w:rsidP="00593E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Notation du débourrement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D2B90" w:rsidTr="006D2B90">
        <w:tc>
          <w:tcPr>
            <w:tcW w:w="4820" w:type="dxa"/>
          </w:tcPr>
          <w:p w:rsidR="006D2B90" w:rsidRDefault="00CC79BF" w:rsidP="00CC7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Début analyse données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D2B90" w:rsidTr="006D2B90">
        <w:tc>
          <w:tcPr>
            <w:tcW w:w="4820" w:type="dxa"/>
          </w:tcPr>
          <w:p w:rsidR="006D2B90" w:rsidRDefault="006D2B90" w:rsidP="00593E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Notation de la fertilité et de la floraison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D2B90" w:rsidTr="006D2B90">
        <w:tc>
          <w:tcPr>
            <w:tcW w:w="4820" w:type="dxa"/>
          </w:tcPr>
          <w:p w:rsidR="006D2B90" w:rsidRDefault="00CC79BF" w:rsidP="00CC7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Suite analyse données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D2B90" w:rsidTr="006D2B90">
        <w:tc>
          <w:tcPr>
            <w:tcW w:w="4820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Notation de la véraison et fin analyse données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6D2B90" w:rsidTr="006D2B90">
        <w:tc>
          <w:tcPr>
            <w:tcW w:w="4820" w:type="dxa"/>
          </w:tcPr>
          <w:p w:rsidR="006D2B90" w:rsidRDefault="006D2B90" w:rsidP="00593E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Rédaction / soutenance</w:t>
            </w: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:rsidR="006D2B90" w:rsidRDefault="006D2B90" w:rsidP="006D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</w:tbl>
    <w:p w:rsidR="002C6D18" w:rsidRPr="00593EA1" w:rsidRDefault="002C6D18" w:rsidP="00593EA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1044AD" w:rsidRPr="00E3005F" w:rsidRDefault="00E3005F" w:rsidP="001044AD">
      <w:pPr>
        <w:pStyle w:val="Default"/>
        <w:jc w:val="both"/>
        <w:rPr>
          <w:rFonts w:asciiTheme="minorHAnsi" w:hAnsiTheme="minorHAnsi" w:cstheme="minorHAnsi"/>
          <w:b/>
        </w:rPr>
      </w:pPr>
      <w:r w:rsidRPr="00E3005F">
        <w:rPr>
          <w:rFonts w:asciiTheme="minorHAnsi" w:hAnsiTheme="minorHAnsi" w:cstheme="minorHAnsi"/>
          <w:b/>
        </w:rPr>
        <w:t xml:space="preserve">PROFIL </w:t>
      </w:r>
      <w:r w:rsidR="00310922">
        <w:rPr>
          <w:rFonts w:asciiTheme="minorHAnsi" w:hAnsiTheme="minorHAnsi" w:cstheme="minorHAnsi"/>
          <w:b/>
        </w:rPr>
        <w:t>SOUHAITE</w:t>
      </w:r>
      <w:r>
        <w:rPr>
          <w:rFonts w:asciiTheme="minorHAnsi" w:hAnsiTheme="minorHAnsi" w:cstheme="minorHAnsi"/>
          <w:b/>
        </w:rPr>
        <w:t> :</w:t>
      </w:r>
    </w:p>
    <w:p w:rsidR="00F14D83" w:rsidRDefault="001044AD" w:rsidP="001044AD">
      <w:pPr>
        <w:pStyle w:val="Default"/>
        <w:jc w:val="both"/>
        <w:rPr>
          <w:rFonts w:asciiTheme="minorHAnsi" w:hAnsiTheme="minorHAnsi" w:cstheme="minorHAnsi"/>
        </w:rPr>
      </w:pPr>
      <w:r w:rsidRPr="001044AD">
        <w:rPr>
          <w:rFonts w:asciiTheme="minorHAnsi" w:hAnsiTheme="minorHAnsi" w:cstheme="minorHAnsi"/>
        </w:rPr>
        <w:t>Elève ingénieur ou master</w:t>
      </w:r>
      <w:r w:rsidR="00310922">
        <w:rPr>
          <w:rFonts w:asciiTheme="minorHAnsi" w:hAnsiTheme="minorHAnsi" w:cstheme="minorHAnsi"/>
        </w:rPr>
        <w:t>, spécialisé</w:t>
      </w:r>
      <w:r w:rsidRPr="001044AD">
        <w:rPr>
          <w:rFonts w:asciiTheme="minorHAnsi" w:hAnsiTheme="minorHAnsi" w:cstheme="minorHAnsi"/>
        </w:rPr>
        <w:t xml:space="preserve"> en </w:t>
      </w:r>
      <w:r w:rsidR="001B0C49">
        <w:rPr>
          <w:rFonts w:asciiTheme="minorHAnsi" w:hAnsiTheme="minorHAnsi" w:cstheme="minorHAnsi"/>
        </w:rPr>
        <w:t>génétique</w:t>
      </w:r>
      <w:r w:rsidRPr="001044AD">
        <w:rPr>
          <w:rFonts w:asciiTheme="minorHAnsi" w:hAnsiTheme="minorHAnsi" w:cstheme="minorHAnsi"/>
        </w:rPr>
        <w:t xml:space="preserve"> végétale</w:t>
      </w:r>
      <w:r w:rsidR="00AE09E2">
        <w:rPr>
          <w:rFonts w:asciiTheme="minorHAnsi" w:hAnsiTheme="minorHAnsi" w:cstheme="minorHAnsi"/>
        </w:rPr>
        <w:t xml:space="preserve">, </w:t>
      </w:r>
      <w:r w:rsidRPr="001044AD">
        <w:rPr>
          <w:rFonts w:asciiTheme="minorHAnsi" w:hAnsiTheme="minorHAnsi" w:cstheme="minorHAnsi"/>
        </w:rPr>
        <w:t xml:space="preserve">avec un intérêt </w:t>
      </w:r>
      <w:r w:rsidR="00AE09E2">
        <w:rPr>
          <w:rFonts w:asciiTheme="minorHAnsi" w:hAnsiTheme="minorHAnsi" w:cstheme="minorHAnsi"/>
        </w:rPr>
        <w:t>pour le travail de terrain et</w:t>
      </w:r>
      <w:r w:rsidRPr="001044AD">
        <w:rPr>
          <w:rFonts w:asciiTheme="minorHAnsi" w:hAnsiTheme="minorHAnsi" w:cstheme="minorHAnsi"/>
        </w:rPr>
        <w:t xml:space="preserve"> pour l’analyse </w:t>
      </w:r>
      <w:r w:rsidR="00AE09E2">
        <w:rPr>
          <w:rFonts w:asciiTheme="minorHAnsi" w:hAnsiTheme="minorHAnsi" w:cstheme="minorHAnsi"/>
        </w:rPr>
        <w:t>de</w:t>
      </w:r>
      <w:r w:rsidRPr="001044AD">
        <w:rPr>
          <w:rFonts w:asciiTheme="minorHAnsi" w:hAnsiTheme="minorHAnsi" w:cstheme="minorHAnsi"/>
        </w:rPr>
        <w:t xml:space="preserve"> données.</w:t>
      </w:r>
      <w:r w:rsidR="001B0C49">
        <w:rPr>
          <w:rFonts w:asciiTheme="minorHAnsi" w:hAnsiTheme="minorHAnsi" w:cstheme="minorHAnsi"/>
        </w:rPr>
        <w:t xml:space="preserve"> </w:t>
      </w:r>
    </w:p>
    <w:p w:rsidR="001044AD" w:rsidRDefault="001B0C49" w:rsidP="001044A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Bonnes notions de génétique quantitative et expérience d’utilisation de R requises.</w:t>
      </w:r>
    </w:p>
    <w:p w:rsidR="00DF5B7C" w:rsidRDefault="00DF5B7C" w:rsidP="001044AD">
      <w:pPr>
        <w:pStyle w:val="Default"/>
        <w:jc w:val="both"/>
        <w:rPr>
          <w:rFonts w:asciiTheme="minorHAnsi" w:hAnsiTheme="minorHAnsi" w:cstheme="minorHAnsi"/>
        </w:rPr>
      </w:pPr>
      <w:r w:rsidRPr="001044AD">
        <w:rPr>
          <w:rFonts w:asciiTheme="minorHAnsi" w:hAnsiTheme="minorHAnsi" w:cstheme="minorHAnsi"/>
        </w:rPr>
        <w:t>Stage de 6 mois</w:t>
      </w:r>
      <w:r>
        <w:rPr>
          <w:rFonts w:asciiTheme="minorHAnsi" w:hAnsiTheme="minorHAnsi" w:cstheme="minorHAnsi"/>
        </w:rPr>
        <w:t xml:space="preserve"> </w:t>
      </w:r>
      <w:r w:rsidRPr="001044AD">
        <w:rPr>
          <w:rFonts w:asciiTheme="minorHAnsi" w:hAnsiTheme="minorHAnsi" w:cstheme="minorHAnsi"/>
        </w:rPr>
        <w:t>de niveau M2</w:t>
      </w:r>
      <w:r w:rsidR="007A438E">
        <w:rPr>
          <w:rFonts w:asciiTheme="minorHAnsi" w:hAnsiTheme="minorHAnsi" w:cstheme="minorHAnsi"/>
        </w:rPr>
        <w:t>,</w:t>
      </w:r>
      <w:r w:rsidRPr="001044AD">
        <w:rPr>
          <w:rFonts w:asciiTheme="minorHAnsi" w:hAnsiTheme="minorHAnsi" w:cstheme="minorHAnsi"/>
        </w:rPr>
        <w:t xml:space="preserve"> pouvant convenir également pour une période de césure</w:t>
      </w:r>
      <w:r>
        <w:rPr>
          <w:rFonts w:asciiTheme="minorHAnsi" w:hAnsiTheme="minorHAnsi" w:cstheme="minorHAnsi"/>
        </w:rPr>
        <w:t>.</w:t>
      </w:r>
    </w:p>
    <w:p w:rsidR="001044AD" w:rsidRDefault="001044AD" w:rsidP="001044AD">
      <w:pPr>
        <w:pStyle w:val="Default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044AD" w:rsidRPr="00E3005F" w:rsidRDefault="00E3005F" w:rsidP="001044AD">
      <w:pPr>
        <w:pStyle w:val="Default"/>
        <w:jc w:val="both"/>
        <w:rPr>
          <w:rFonts w:asciiTheme="minorHAnsi" w:hAnsiTheme="minorHAnsi" w:cstheme="minorHAnsi"/>
          <w:b/>
        </w:rPr>
      </w:pPr>
      <w:r w:rsidRPr="00E3005F">
        <w:rPr>
          <w:rFonts w:asciiTheme="minorHAnsi" w:hAnsiTheme="minorHAnsi" w:cstheme="minorHAnsi"/>
          <w:b/>
        </w:rPr>
        <w:t>CONDITIONS PRATIQUES</w:t>
      </w:r>
      <w:r>
        <w:rPr>
          <w:rFonts w:asciiTheme="minorHAnsi" w:hAnsiTheme="minorHAnsi" w:cstheme="minorHAnsi"/>
          <w:b/>
        </w:rPr>
        <w:t> :</w:t>
      </w:r>
    </w:p>
    <w:p w:rsidR="005011E6" w:rsidRPr="005011E6" w:rsidRDefault="005011E6" w:rsidP="005011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color w:val="000000"/>
        </w:rPr>
      </w:pPr>
      <w:r w:rsidRPr="005011E6">
        <w:rPr>
          <w:rStyle w:val="eop"/>
          <w:rFonts w:asciiTheme="minorHAnsi" w:hAnsiTheme="minorHAnsi" w:cstheme="minorHAnsi"/>
          <w:i/>
          <w:color w:val="000000"/>
        </w:rPr>
        <w:t>Dates :</w:t>
      </w:r>
      <w:r>
        <w:rPr>
          <w:rStyle w:val="eop"/>
          <w:rFonts w:asciiTheme="minorHAnsi" w:hAnsiTheme="minorHAnsi" w:cstheme="minorHAnsi"/>
          <w:i/>
          <w:color w:val="000000"/>
        </w:rPr>
        <w:t xml:space="preserve"> </w:t>
      </w:r>
      <w:r w:rsidRPr="005011E6">
        <w:rPr>
          <w:rStyle w:val="eop"/>
          <w:rFonts w:asciiTheme="minorHAnsi" w:hAnsiTheme="minorHAnsi" w:cstheme="minorHAnsi"/>
          <w:color w:val="000000"/>
        </w:rPr>
        <w:t xml:space="preserve">De </w:t>
      </w:r>
      <w:r>
        <w:rPr>
          <w:rStyle w:val="eop"/>
          <w:rFonts w:asciiTheme="minorHAnsi" w:hAnsiTheme="minorHAnsi" w:cstheme="minorHAnsi"/>
          <w:color w:val="000000"/>
        </w:rPr>
        <w:t xml:space="preserve">début </w:t>
      </w:r>
      <w:r w:rsidRPr="005011E6">
        <w:rPr>
          <w:rStyle w:val="eop"/>
          <w:rFonts w:asciiTheme="minorHAnsi" w:hAnsiTheme="minorHAnsi" w:cstheme="minorHAnsi"/>
          <w:color w:val="000000"/>
        </w:rPr>
        <w:t xml:space="preserve">mars à </w:t>
      </w:r>
      <w:r>
        <w:rPr>
          <w:rStyle w:val="eop"/>
          <w:rFonts w:asciiTheme="minorHAnsi" w:hAnsiTheme="minorHAnsi" w:cstheme="minorHAnsi"/>
          <w:color w:val="000000"/>
        </w:rPr>
        <w:t xml:space="preserve">fin </w:t>
      </w:r>
      <w:r w:rsidRPr="005011E6">
        <w:rPr>
          <w:rStyle w:val="eop"/>
          <w:rFonts w:asciiTheme="minorHAnsi" w:hAnsiTheme="minorHAnsi" w:cstheme="minorHAnsi"/>
          <w:color w:val="000000"/>
        </w:rPr>
        <w:t>août</w:t>
      </w:r>
      <w:r w:rsidR="00310922">
        <w:rPr>
          <w:rStyle w:val="eop"/>
          <w:rFonts w:asciiTheme="minorHAnsi" w:hAnsiTheme="minorHAnsi" w:cstheme="minorHAnsi"/>
          <w:color w:val="000000"/>
        </w:rPr>
        <w:t xml:space="preserve"> (dates contraintes par les stades </w:t>
      </w:r>
      <w:proofErr w:type="spellStart"/>
      <w:r w:rsidR="00310922">
        <w:rPr>
          <w:rStyle w:val="eop"/>
          <w:rFonts w:asciiTheme="minorHAnsi" w:hAnsiTheme="minorHAnsi" w:cstheme="minorHAnsi"/>
          <w:color w:val="000000"/>
        </w:rPr>
        <w:t>phénologiques</w:t>
      </w:r>
      <w:proofErr w:type="spellEnd"/>
      <w:r w:rsidR="00310922">
        <w:rPr>
          <w:rStyle w:val="eop"/>
          <w:rFonts w:asciiTheme="minorHAnsi" w:hAnsiTheme="minorHAnsi" w:cstheme="minorHAnsi"/>
          <w:color w:val="000000"/>
        </w:rPr>
        <w:t>)</w:t>
      </w:r>
    </w:p>
    <w:p w:rsidR="005011E6" w:rsidRPr="005011E6" w:rsidRDefault="005011E6" w:rsidP="005011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color w:val="000000"/>
        </w:rPr>
      </w:pPr>
      <w:r w:rsidRPr="005011E6">
        <w:rPr>
          <w:rStyle w:val="eop"/>
          <w:rFonts w:asciiTheme="minorHAnsi" w:hAnsiTheme="minorHAnsi" w:cstheme="minorHAnsi"/>
          <w:i/>
          <w:color w:val="000000"/>
        </w:rPr>
        <w:t>Lieu :</w:t>
      </w:r>
      <w:r>
        <w:rPr>
          <w:rStyle w:val="eop"/>
          <w:rFonts w:asciiTheme="minorHAnsi" w:hAnsiTheme="minorHAnsi" w:cstheme="minorHAnsi"/>
          <w:i/>
          <w:color w:val="000000"/>
        </w:rPr>
        <w:t xml:space="preserve"> </w:t>
      </w:r>
      <w:r w:rsidRPr="00D53018">
        <w:rPr>
          <w:rStyle w:val="eop"/>
          <w:rFonts w:asciiTheme="minorHAnsi" w:hAnsiTheme="minorHAnsi" w:cstheme="minorHAnsi"/>
          <w:color w:val="000000"/>
        </w:rPr>
        <w:t xml:space="preserve">Unité Expérimentale </w:t>
      </w:r>
      <w:proofErr w:type="spellStart"/>
      <w:r w:rsidRPr="00D53018">
        <w:rPr>
          <w:rStyle w:val="eop"/>
          <w:rFonts w:asciiTheme="minorHAnsi" w:hAnsiTheme="minorHAnsi" w:cstheme="minorHAnsi"/>
          <w:color w:val="000000"/>
        </w:rPr>
        <w:t>Pech</w:t>
      </w:r>
      <w:proofErr w:type="spellEnd"/>
      <w:r w:rsidRPr="00D53018">
        <w:rPr>
          <w:rStyle w:val="eop"/>
          <w:rFonts w:asciiTheme="minorHAnsi" w:hAnsiTheme="minorHAnsi" w:cstheme="minorHAnsi"/>
          <w:color w:val="000000"/>
        </w:rPr>
        <w:t xml:space="preserve">-Rouge (Gruissan) pour les notations </w:t>
      </w:r>
      <w:proofErr w:type="spellStart"/>
      <w:r w:rsidRPr="00D53018">
        <w:rPr>
          <w:rStyle w:val="eop"/>
          <w:rFonts w:asciiTheme="minorHAnsi" w:hAnsiTheme="minorHAnsi" w:cstheme="minorHAnsi"/>
          <w:color w:val="000000"/>
        </w:rPr>
        <w:t>phénologiques</w:t>
      </w:r>
      <w:proofErr w:type="spellEnd"/>
      <w:r>
        <w:rPr>
          <w:rStyle w:val="eop"/>
          <w:rFonts w:asciiTheme="minorHAnsi" w:hAnsiTheme="minorHAnsi" w:cstheme="minorHAnsi"/>
          <w:color w:val="000000"/>
        </w:rPr>
        <w:t xml:space="preserve">, et </w:t>
      </w:r>
      <w:proofErr w:type="spellStart"/>
      <w:r w:rsidRPr="00D53018">
        <w:rPr>
          <w:rStyle w:val="eop"/>
          <w:rFonts w:asciiTheme="minorHAnsi" w:hAnsiTheme="minorHAnsi" w:cstheme="minorHAnsi"/>
          <w:color w:val="000000"/>
        </w:rPr>
        <w:t>C</w:t>
      </w:r>
      <w:r w:rsidR="00AC5C18">
        <w:rPr>
          <w:rStyle w:val="eop"/>
          <w:rFonts w:asciiTheme="minorHAnsi" w:hAnsiTheme="minorHAnsi" w:cstheme="minorHAnsi"/>
          <w:color w:val="000000"/>
        </w:rPr>
        <w:t>irad</w:t>
      </w:r>
      <w:proofErr w:type="spellEnd"/>
      <w:r w:rsidRPr="00D53018">
        <w:rPr>
          <w:rStyle w:val="eop"/>
          <w:rFonts w:asciiTheme="minorHAnsi" w:hAnsiTheme="minorHAnsi" w:cstheme="minorHAnsi"/>
          <w:color w:val="000000"/>
        </w:rPr>
        <w:t xml:space="preserve"> (Montpellier) pour les analyses statistiques</w:t>
      </w:r>
      <w:r>
        <w:rPr>
          <w:rStyle w:val="eop"/>
          <w:rFonts w:asciiTheme="minorHAnsi" w:hAnsiTheme="minorHAnsi" w:cstheme="minorHAnsi"/>
          <w:color w:val="000000"/>
        </w:rPr>
        <w:t>.</w:t>
      </w:r>
      <w:r w:rsidR="00BC1916">
        <w:rPr>
          <w:rStyle w:val="eop"/>
          <w:rFonts w:asciiTheme="minorHAnsi" w:hAnsiTheme="minorHAnsi" w:cstheme="minorHAnsi"/>
          <w:color w:val="000000"/>
        </w:rPr>
        <w:t xml:space="preserve"> </w:t>
      </w:r>
      <w:r w:rsidR="00BC1916" w:rsidRPr="00310922">
        <w:rPr>
          <w:rStyle w:val="eop"/>
          <w:rFonts w:asciiTheme="minorHAnsi" w:hAnsiTheme="minorHAnsi" w:cstheme="minorHAnsi"/>
          <w:color w:val="000000"/>
          <w:u w:val="single"/>
        </w:rPr>
        <w:t xml:space="preserve">NB : </w:t>
      </w:r>
      <w:proofErr w:type="gramStart"/>
      <w:r w:rsidR="00BC1916" w:rsidRPr="00310922">
        <w:rPr>
          <w:rStyle w:val="eop"/>
          <w:rFonts w:asciiTheme="minorHAnsi" w:hAnsiTheme="minorHAnsi" w:cstheme="minorHAnsi"/>
          <w:color w:val="000000"/>
          <w:u w:val="single"/>
        </w:rPr>
        <w:t>l’</w:t>
      </w:r>
      <w:proofErr w:type="spellStart"/>
      <w:r w:rsidR="00AE219D" w:rsidRPr="00310922">
        <w:rPr>
          <w:rStyle w:val="eop"/>
          <w:rFonts w:asciiTheme="minorHAnsi" w:hAnsiTheme="minorHAnsi" w:cstheme="minorHAnsi"/>
          <w:color w:val="000000"/>
          <w:u w:val="single"/>
        </w:rPr>
        <w:t>étudiant</w:t>
      </w:r>
      <w:r w:rsidR="0063756F">
        <w:rPr>
          <w:rStyle w:val="eop"/>
          <w:rFonts w:asciiTheme="minorHAnsi" w:hAnsiTheme="minorHAnsi" w:cstheme="minorHAnsi"/>
          <w:color w:val="000000"/>
          <w:u w:val="single"/>
        </w:rPr>
        <w:t>.e</w:t>
      </w:r>
      <w:proofErr w:type="spellEnd"/>
      <w:proofErr w:type="gramEnd"/>
      <w:r w:rsidR="00AE219D" w:rsidRPr="00310922">
        <w:rPr>
          <w:rStyle w:val="eop"/>
          <w:rFonts w:asciiTheme="minorHAnsi" w:hAnsiTheme="minorHAnsi" w:cstheme="minorHAnsi"/>
          <w:color w:val="000000"/>
          <w:u w:val="single"/>
        </w:rPr>
        <w:t xml:space="preserve"> devra loger</w:t>
      </w:r>
      <w:r w:rsidR="00BC1916" w:rsidRPr="00310922">
        <w:rPr>
          <w:rStyle w:val="eop"/>
          <w:rFonts w:asciiTheme="minorHAnsi" w:hAnsiTheme="minorHAnsi" w:cstheme="minorHAnsi"/>
          <w:color w:val="000000"/>
          <w:u w:val="single"/>
        </w:rPr>
        <w:t xml:space="preserve"> sur l’Unité Expérimentale de </w:t>
      </w:r>
      <w:proofErr w:type="spellStart"/>
      <w:r w:rsidR="00BC1916" w:rsidRPr="00310922">
        <w:rPr>
          <w:rStyle w:val="eop"/>
          <w:rFonts w:asciiTheme="minorHAnsi" w:hAnsiTheme="minorHAnsi" w:cstheme="minorHAnsi"/>
          <w:color w:val="000000"/>
          <w:u w:val="single"/>
        </w:rPr>
        <w:t>Pech</w:t>
      </w:r>
      <w:proofErr w:type="spellEnd"/>
      <w:r w:rsidR="00BC1916" w:rsidRPr="00310922">
        <w:rPr>
          <w:rStyle w:val="eop"/>
          <w:rFonts w:asciiTheme="minorHAnsi" w:hAnsiTheme="minorHAnsi" w:cstheme="minorHAnsi"/>
          <w:color w:val="000000"/>
          <w:u w:val="single"/>
        </w:rPr>
        <w:t>-Rouge pendant les périodes de notation.</w:t>
      </w:r>
    </w:p>
    <w:p w:rsidR="001044AD" w:rsidRDefault="005011E6" w:rsidP="001044AD">
      <w:pPr>
        <w:pStyle w:val="Default"/>
        <w:jc w:val="both"/>
        <w:rPr>
          <w:rFonts w:asciiTheme="minorHAnsi" w:hAnsiTheme="minorHAnsi" w:cstheme="minorHAnsi"/>
        </w:rPr>
      </w:pPr>
      <w:r w:rsidRPr="00BC1916">
        <w:rPr>
          <w:rFonts w:asciiTheme="minorHAnsi" w:hAnsiTheme="minorHAnsi" w:cstheme="minorHAnsi"/>
          <w:i/>
        </w:rPr>
        <w:t>Indemni</w:t>
      </w:r>
      <w:r w:rsidR="009E0F2A" w:rsidRPr="00BC1916">
        <w:rPr>
          <w:rFonts w:asciiTheme="minorHAnsi" w:hAnsiTheme="minorHAnsi" w:cstheme="minorHAnsi"/>
          <w:i/>
        </w:rPr>
        <w:t xml:space="preserve">sation </w:t>
      </w:r>
      <w:r w:rsidR="006309B7" w:rsidRPr="00BC1916">
        <w:rPr>
          <w:rFonts w:asciiTheme="minorHAnsi" w:hAnsiTheme="minorHAnsi" w:cstheme="minorHAnsi"/>
          <w:i/>
        </w:rPr>
        <w:t>:</w:t>
      </w:r>
      <w:r w:rsidR="009E0F2A">
        <w:rPr>
          <w:rFonts w:asciiTheme="minorHAnsi" w:hAnsiTheme="minorHAnsi" w:cstheme="minorHAnsi"/>
        </w:rPr>
        <w:t xml:space="preserve"> ~ 570 € / mois.</w:t>
      </w:r>
    </w:p>
    <w:p w:rsidR="005011E6" w:rsidRPr="001044AD" w:rsidRDefault="009E0F2A" w:rsidP="001044AD">
      <w:pPr>
        <w:pStyle w:val="Default"/>
        <w:jc w:val="both"/>
        <w:rPr>
          <w:rFonts w:asciiTheme="minorHAnsi" w:hAnsiTheme="minorHAnsi" w:cstheme="minorHAnsi"/>
        </w:rPr>
      </w:pPr>
      <w:r w:rsidRPr="00F057D1">
        <w:rPr>
          <w:rFonts w:asciiTheme="minorHAnsi" w:hAnsiTheme="minorHAnsi" w:cstheme="minorHAnsi"/>
          <w:i/>
        </w:rPr>
        <w:t>Avantages :</w:t>
      </w:r>
      <w:r>
        <w:rPr>
          <w:rFonts w:asciiTheme="minorHAnsi" w:hAnsiTheme="minorHAnsi" w:cstheme="minorHAnsi"/>
        </w:rPr>
        <w:t xml:space="preserve"> </w:t>
      </w:r>
      <w:r w:rsidR="00AC5C18">
        <w:rPr>
          <w:rFonts w:asciiTheme="minorHAnsi" w:hAnsiTheme="minorHAnsi" w:cstheme="minorHAnsi"/>
        </w:rPr>
        <w:t xml:space="preserve">subvention cantine au </w:t>
      </w:r>
      <w:proofErr w:type="spellStart"/>
      <w:r w:rsidR="00AC5C18">
        <w:rPr>
          <w:rFonts w:asciiTheme="minorHAnsi" w:hAnsiTheme="minorHAnsi" w:cstheme="minorHAnsi"/>
        </w:rPr>
        <w:t>Cirad</w:t>
      </w:r>
      <w:proofErr w:type="spellEnd"/>
      <w:r w:rsidR="00AC5C18">
        <w:rPr>
          <w:rFonts w:asciiTheme="minorHAnsi" w:hAnsiTheme="minorHAnsi" w:cstheme="minorHAnsi"/>
        </w:rPr>
        <w:t xml:space="preserve"> et à </w:t>
      </w:r>
      <w:proofErr w:type="spellStart"/>
      <w:r w:rsidR="00AC5C18">
        <w:rPr>
          <w:rFonts w:asciiTheme="minorHAnsi" w:hAnsiTheme="minorHAnsi" w:cstheme="minorHAnsi"/>
        </w:rPr>
        <w:t>Pech</w:t>
      </w:r>
      <w:proofErr w:type="spellEnd"/>
      <w:r w:rsidR="00AC5C18">
        <w:rPr>
          <w:rFonts w:asciiTheme="minorHAnsi" w:hAnsiTheme="minorHAnsi" w:cstheme="minorHAnsi"/>
        </w:rPr>
        <w:t xml:space="preserve">-Rouge, </w:t>
      </w:r>
      <w:r>
        <w:rPr>
          <w:rFonts w:asciiTheme="minorHAnsi" w:hAnsiTheme="minorHAnsi" w:cstheme="minorHAnsi"/>
        </w:rPr>
        <w:t xml:space="preserve">logement gratuit à </w:t>
      </w:r>
      <w:proofErr w:type="spellStart"/>
      <w:r>
        <w:rPr>
          <w:rFonts w:asciiTheme="minorHAnsi" w:hAnsiTheme="minorHAnsi" w:cstheme="minorHAnsi"/>
        </w:rPr>
        <w:t>Pech</w:t>
      </w:r>
      <w:proofErr w:type="spellEnd"/>
      <w:r>
        <w:rPr>
          <w:rFonts w:asciiTheme="minorHAnsi" w:hAnsiTheme="minorHAnsi" w:cstheme="minorHAnsi"/>
        </w:rPr>
        <w:t xml:space="preserve"> Rouge</w:t>
      </w:r>
      <w:r w:rsidR="007B345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1044AD" w:rsidRPr="001044AD" w:rsidRDefault="001044AD" w:rsidP="001044AD">
      <w:pPr>
        <w:pStyle w:val="Default"/>
        <w:jc w:val="both"/>
        <w:rPr>
          <w:rFonts w:asciiTheme="minorHAnsi" w:hAnsiTheme="minorHAnsi" w:cstheme="minorHAnsi"/>
          <w:b/>
        </w:rPr>
      </w:pPr>
    </w:p>
    <w:p w:rsidR="00AC5C18" w:rsidRPr="00E3005F" w:rsidRDefault="00E3005F" w:rsidP="001044AD">
      <w:pPr>
        <w:pStyle w:val="Default"/>
        <w:jc w:val="both"/>
        <w:rPr>
          <w:rFonts w:asciiTheme="minorHAnsi" w:hAnsiTheme="minorHAnsi" w:cstheme="minorHAnsi"/>
          <w:b/>
        </w:rPr>
      </w:pPr>
      <w:r w:rsidRPr="00E3005F">
        <w:rPr>
          <w:rFonts w:asciiTheme="minorHAnsi" w:hAnsiTheme="minorHAnsi" w:cstheme="minorHAnsi"/>
          <w:b/>
        </w:rPr>
        <w:t>ENCADREMENT</w:t>
      </w:r>
      <w:r>
        <w:rPr>
          <w:rFonts w:asciiTheme="minorHAnsi" w:hAnsiTheme="minorHAnsi" w:cstheme="minorHAnsi"/>
          <w:b/>
        </w:rPr>
        <w:t> :</w:t>
      </w:r>
    </w:p>
    <w:p w:rsidR="00152918" w:rsidRPr="00AC5C18" w:rsidRDefault="00152918" w:rsidP="001044AD">
      <w:pPr>
        <w:pStyle w:val="Default"/>
        <w:jc w:val="both"/>
        <w:rPr>
          <w:rFonts w:asciiTheme="minorHAnsi" w:hAnsiTheme="minorHAnsi" w:cstheme="minorHAnsi"/>
          <w:b/>
          <w:i/>
        </w:rPr>
      </w:pPr>
      <w:r w:rsidRPr="00AC5C18">
        <w:rPr>
          <w:rFonts w:asciiTheme="minorHAnsi" w:hAnsiTheme="minorHAnsi" w:cstheme="minorHAnsi"/>
          <w:i/>
        </w:rPr>
        <w:t>Responsable de stage</w:t>
      </w:r>
      <w:r w:rsidR="00AC5C18" w:rsidRPr="00AC5C18">
        <w:rPr>
          <w:rFonts w:asciiTheme="minorHAnsi" w:hAnsiTheme="minorHAnsi" w:cstheme="minorHAnsi"/>
          <w:i/>
        </w:rPr>
        <w:t> :</w:t>
      </w:r>
      <w:r w:rsidR="00AC5C18">
        <w:rPr>
          <w:rFonts w:asciiTheme="minorHAnsi" w:hAnsiTheme="minorHAnsi" w:cstheme="minorHAnsi"/>
          <w:b/>
          <w:i/>
        </w:rPr>
        <w:t xml:space="preserve"> </w:t>
      </w:r>
      <w:r w:rsidR="00854EF8" w:rsidRPr="00854EF8">
        <w:rPr>
          <w:rFonts w:asciiTheme="minorHAnsi" w:hAnsiTheme="minorHAnsi" w:cstheme="minorHAnsi"/>
        </w:rPr>
        <w:t xml:space="preserve">Agnès </w:t>
      </w:r>
      <w:proofErr w:type="spellStart"/>
      <w:r w:rsidR="00854EF8" w:rsidRPr="00854EF8">
        <w:rPr>
          <w:rFonts w:asciiTheme="minorHAnsi" w:hAnsiTheme="minorHAnsi" w:cstheme="minorHAnsi"/>
        </w:rPr>
        <w:t>Doligez</w:t>
      </w:r>
      <w:proofErr w:type="spellEnd"/>
      <w:r>
        <w:rPr>
          <w:rFonts w:asciiTheme="minorHAnsi" w:hAnsiTheme="minorHAnsi" w:cstheme="minorHAnsi"/>
        </w:rPr>
        <w:t>, Ingénieur de Recherche INRAE</w:t>
      </w:r>
      <w:r w:rsidR="00AC5C18">
        <w:rPr>
          <w:rFonts w:asciiTheme="minorHAnsi" w:hAnsiTheme="minorHAnsi" w:cstheme="minorHAnsi"/>
        </w:rPr>
        <w:t>.</w:t>
      </w:r>
    </w:p>
    <w:p w:rsidR="00152918" w:rsidRDefault="001044AD" w:rsidP="001044AD">
      <w:pPr>
        <w:pStyle w:val="Default"/>
        <w:jc w:val="both"/>
        <w:rPr>
          <w:rFonts w:asciiTheme="minorHAnsi" w:hAnsiTheme="minorHAnsi" w:cstheme="minorHAnsi"/>
        </w:rPr>
      </w:pPr>
      <w:r w:rsidRPr="00854EF8">
        <w:rPr>
          <w:rFonts w:asciiTheme="minorHAnsi" w:hAnsiTheme="minorHAnsi" w:cstheme="minorHAnsi"/>
        </w:rPr>
        <w:t xml:space="preserve">UMR AGAP Institut, Equipe Diversité, Adaptation et </w:t>
      </w:r>
      <w:r w:rsidR="00152918">
        <w:rPr>
          <w:rFonts w:asciiTheme="minorHAnsi" w:hAnsiTheme="minorHAnsi" w:cstheme="minorHAnsi"/>
        </w:rPr>
        <w:t>Amélioration de la Vigne (DAAV)</w:t>
      </w:r>
    </w:p>
    <w:p w:rsidR="00152918" w:rsidRDefault="00152918" w:rsidP="001044A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CIRAD Lavalette, bât 3, avenue </w:t>
      </w:r>
      <w:proofErr w:type="spellStart"/>
      <w:r>
        <w:rPr>
          <w:rFonts w:asciiTheme="minorHAnsi" w:hAnsiTheme="minorHAnsi" w:cstheme="minorHAnsi"/>
        </w:rPr>
        <w:t>Agropolis</w:t>
      </w:r>
      <w:proofErr w:type="spellEnd"/>
      <w:r>
        <w:rPr>
          <w:rFonts w:asciiTheme="minorHAnsi" w:hAnsiTheme="minorHAnsi" w:cstheme="minorHAnsi"/>
        </w:rPr>
        <w:t>, Montpellier</w:t>
      </w:r>
    </w:p>
    <w:p w:rsidR="001044AD" w:rsidRDefault="00C01DA4" w:rsidP="001044A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Tél. : 04 67 61 49 67</w:t>
      </w:r>
    </w:p>
    <w:p w:rsidR="00AC5C18" w:rsidRPr="00854EF8" w:rsidRDefault="00AC5C18" w:rsidP="001044AD">
      <w:pPr>
        <w:pStyle w:val="Default"/>
        <w:jc w:val="both"/>
        <w:rPr>
          <w:rFonts w:asciiTheme="minorHAnsi" w:hAnsiTheme="minorHAnsi" w:cstheme="minorHAnsi"/>
        </w:rPr>
      </w:pPr>
      <w:r w:rsidRPr="00AC5C18">
        <w:rPr>
          <w:rFonts w:asciiTheme="minorHAnsi" w:hAnsiTheme="minorHAnsi" w:cstheme="minorHAnsi"/>
          <w:i/>
        </w:rPr>
        <w:t>Encadrement technique</w:t>
      </w:r>
      <w:r>
        <w:rPr>
          <w:rFonts w:asciiTheme="minorHAnsi" w:hAnsiTheme="minorHAnsi" w:cstheme="minorHAnsi"/>
          <w:i/>
        </w:rPr>
        <w:t xml:space="preserve"> pour les notations</w:t>
      </w:r>
      <w:r w:rsidRPr="00AC5C18">
        <w:rPr>
          <w:rFonts w:asciiTheme="minorHAnsi" w:hAnsiTheme="minorHAnsi" w:cstheme="minorHAnsi"/>
          <w:i/>
        </w:rPr>
        <w:t> :</w:t>
      </w:r>
      <w:r>
        <w:rPr>
          <w:rFonts w:asciiTheme="minorHAnsi" w:hAnsiTheme="minorHAnsi" w:cstheme="minorHAnsi"/>
        </w:rPr>
        <w:t xml:space="preserve"> Emmanuelle Garcia-</w:t>
      </w:r>
      <w:proofErr w:type="spellStart"/>
      <w:r>
        <w:rPr>
          <w:rFonts w:asciiTheme="minorHAnsi" w:hAnsiTheme="minorHAnsi" w:cstheme="minorHAnsi"/>
        </w:rPr>
        <w:t>Adrados</w:t>
      </w:r>
      <w:proofErr w:type="spellEnd"/>
      <w:r>
        <w:rPr>
          <w:rFonts w:asciiTheme="minorHAnsi" w:hAnsiTheme="minorHAnsi" w:cstheme="minorHAnsi"/>
        </w:rPr>
        <w:t xml:space="preserve"> et Thierry Pons, techniciens de recherche INRAE.</w:t>
      </w:r>
    </w:p>
    <w:p w:rsidR="00854EF8" w:rsidRPr="001044AD" w:rsidRDefault="00854EF8" w:rsidP="001044AD">
      <w:pPr>
        <w:pStyle w:val="Default"/>
        <w:jc w:val="both"/>
        <w:rPr>
          <w:rFonts w:asciiTheme="minorHAnsi" w:hAnsiTheme="minorHAnsi" w:cstheme="minorHAnsi"/>
          <w:b/>
        </w:rPr>
      </w:pPr>
    </w:p>
    <w:p w:rsidR="001044AD" w:rsidRPr="00E3005F" w:rsidRDefault="00E3005F" w:rsidP="001044AD">
      <w:pPr>
        <w:pStyle w:val="Default"/>
        <w:jc w:val="both"/>
        <w:rPr>
          <w:rFonts w:asciiTheme="minorHAnsi" w:hAnsiTheme="minorHAnsi" w:cstheme="minorHAnsi"/>
          <w:b/>
        </w:rPr>
      </w:pPr>
      <w:r w:rsidRPr="00E3005F">
        <w:rPr>
          <w:rFonts w:asciiTheme="minorHAnsi" w:hAnsiTheme="minorHAnsi" w:cstheme="minorHAnsi"/>
          <w:b/>
        </w:rPr>
        <w:t>POUR POSTULER :</w:t>
      </w:r>
    </w:p>
    <w:p w:rsidR="00854EF8" w:rsidRPr="00854EF8" w:rsidRDefault="001044AD" w:rsidP="001044AD">
      <w:pPr>
        <w:pStyle w:val="Default"/>
        <w:jc w:val="both"/>
        <w:rPr>
          <w:rFonts w:asciiTheme="minorHAnsi" w:hAnsiTheme="minorHAnsi" w:cstheme="minorHAnsi"/>
        </w:rPr>
      </w:pPr>
      <w:r w:rsidRPr="00854EF8">
        <w:rPr>
          <w:rFonts w:asciiTheme="minorHAnsi" w:hAnsiTheme="minorHAnsi" w:cstheme="minorHAnsi"/>
        </w:rPr>
        <w:t xml:space="preserve">Envoyer CV </w:t>
      </w:r>
      <w:r w:rsidR="00513210">
        <w:rPr>
          <w:rFonts w:asciiTheme="minorHAnsi" w:hAnsiTheme="minorHAnsi" w:cstheme="minorHAnsi"/>
        </w:rPr>
        <w:t>+</w:t>
      </w:r>
      <w:r w:rsidRPr="00854EF8">
        <w:rPr>
          <w:rFonts w:asciiTheme="minorHAnsi" w:hAnsiTheme="minorHAnsi" w:cstheme="minorHAnsi"/>
        </w:rPr>
        <w:t xml:space="preserve"> lettre de motivation à </w:t>
      </w:r>
      <w:r w:rsidR="00854EF8" w:rsidRPr="00854EF8">
        <w:rPr>
          <w:rFonts w:asciiTheme="minorHAnsi" w:hAnsiTheme="minorHAnsi" w:cstheme="minorHAnsi"/>
        </w:rPr>
        <w:t xml:space="preserve">Agnès </w:t>
      </w:r>
      <w:proofErr w:type="spellStart"/>
      <w:r w:rsidR="00854EF8" w:rsidRPr="00854EF8">
        <w:rPr>
          <w:rFonts w:asciiTheme="minorHAnsi" w:hAnsiTheme="minorHAnsi" w:cstheme="minorHAnsi"/>
        </w:rPr>
        <w:t>Doligez</w:t>
      </w:r>
      <w:proofErr w:type="spellEnd"/>
      <w:r w:rsidR="00854EF8" w:rsidRPr="00854EF8">
        <w:rPr>
          <w:rFonts w:asciiTheme="minorHAnsi" w:hAnsiTheme="minorHAnsi" w:cstheme="minorHAnsi"/>
        </w:rPr>
        <w:t xml:space="preserve"> (agnes.doligez@inrae.fr</w:t>
      </w:r>
      <w:r w:rsidRPr="00854EF8">
        <w:rPr>
          <w:rFonts w:asciiTheme="minorHAnsi" w:hAnsiTheme="minorHAnsi" w:cstheme="minorHAnsi"/>
        </w:rPr>
        <w:t>).</w:t>
      </w:r>
    </w:p>
    <w:p w:rsidR="00854EF8" w:rsidRDefault="00854EF8" w:rsidP="001044AD">
      <w:pPr>
        <w:pStyle w:val="Default"/>
        <w:jc w:val="both"/>
        <w:rPr>
          <w:rFonts w:asciiTheme="minorHAnsi" w:hAnsiTheme="minorHAnsi" w:cstheme="minorHAnsi"/>
          <w:b/>
        </w:rPr>
      </w:pPr>
    </w:p>
    <w:p w:rsidR="00593EA1" w:rsidRPr="00593EA1" w:rsidRDefault="00DF1B44" w:rsidP="00593E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REFERENCES BIBLIOGRAPHIQUES </w:t>
      </w:r>
      <w:r w:rsidR="00D3250D">
        <w:rPr>
          <w:rStyle w:val="normaltextrun"/>
          <w:rFonts w:asciiTheme="minorHAnsi" w:hAnsiTheme="minorHAnsi" w:cstheme="minorHAnsi"/>
          <w:bCs/>
          <w:i/>
          <w:color w:val="000000"/>
        </w:rPr>
        <w:t>(en gras,</w:t>
      </w:r>
      <w:r w:rsidRPr="00DF1B44">
        <w:rPr>
          <w:rStyle w:val="normaltextrun"/>
          <w:rFonts w:asciiTheme="minorHAnsi" w:hAnsiTheme="minorHAnsi" w:cstheme="minorHAnsi"/>
          <w:bCs/>
          <w:i/>
          <w:color w:val="000000"/>
        </w:rPr>
        <w:t xml:space="preserve"> références de l’équipe d’accueil) </w:t>
      </w:r>
      <w:r w:rsidRPr="00DF1B44">
        <w:rPr>
          <w:rStyle w:val="normaltextrun"/>
          <w:rFonts w:asciiTheme="minorHAnsi" w:hAnsiTheme="minorHAnsi" w:cstheme="minorHAnsi"/>
          <w:bCs/>
          <w:color w:val="000000"/>
        </w:rPr>
        <w:t>:</w:t>
      </w:r>
      <w:r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</w:p>
    <w:p w:rsidR="00D343B0" w:rsidRPr="00D343B0" w:rsidRDefault="00A824A4" w:rsidP="00513210">
      <w:pPr>
        <w:spacing w:before="80" w:after="80"/>
        <w:ind w:left="360" w:hanging="360"/>
        <w:jc w:val="both"/>
      </w:pPr>
      <w:proofErr w:type="spellStart"/>
      <w:r>
        <w:t>Delfino</w:t>
      </w:r>
      <w:proofErr w:type="spellEnd"/>
      <w:r>
        <w:t xml:space="preserve"> </w:t>
      </w:r>
      <w:r w:rsidR="00D343B0" w:rsidRPr="00A824A4">
        <w:rPr>
          <w:i/>
        </w:rPr>
        <w:t>et al.</w:t>
      </w:r>
      <w:r w:rsidR="00D343B0" w:rsidRPr="00D343B0">
        <w:t xml:space="preserve"> </w:t>
      </w:r>
      <w:r w:rsidRPr="00D343B0">
        <w:t>(2019)</w:t>
      </w:r>
      <w:r>
        <w:t xml:space="preserve"> </w:t>
      </w:r>
      <w:proofErr w:type="spellStart"/>
      <w:r w:rsidR="00D343B0" w:rsidRPr="00D343B0">
        <w:t>Selection</w:t>
      </w:r>
      <w:proofErr w:type="spellEnd"/>
      <w:r w:rsidR="00D343B0" w:rsidRPr="00D343B0">
        <w:t xml:space="preserve"> of candidate </w:t>
      </w:r>
      <w:proofErr w:type="spellStart"/>
      <w:r w:rsidR="00D343B0" w:rsidRPr="00D343B0">
        <w:t>genes</w:t>
      </w:r>
      <w:proofErr w:type="spellEnd"/>
      <w:r w:rsidR="00D343B0" w:rsidRPr="00D343B0">
        <w:t xml:space="preserve"> </w:t>
      </w:r>
      <w:proofErr w:type="spellStart"/>
      <w:r w:rsidR="00D343B0" w:rsidRPr="00D343B0">
        <w:t>controlling</w:t>
      </w:r>
      <w:proofErr w:type="spellEnd"/>
      <w:r w:rsidR="00D343B0" w:rsidRPr="00D343B0">
        <w:t xml:space="preserve"> </w:t>
      </w:r>
      <w:proofErr w:type="spellStart"/>
      <w:r w:rsidR="00D343B0" w:rsidRPr="00D343B0">
        <w:t>veraison</w:t>
      </w:r>
      <w:proofErr w:type="spellEnd"/>
      <w:r w:rsidR="00D343B0" w:rsidRPr="00D343B0">
        <w:t xml:space="preserve"> time in </w:t>
      </w:r>
      <w:proofErr w:type="spellStart"/>
      <w:r w:rsidR="00D343B0" w:rsidRPr="00D343B0">
        <w:t>grapevine</w:t>
      </w:r>
      <w:proofErr w:type="spellEnd"/>
      <w:r w:rsidR="00D343B0" w:rsidRPr="00D343B0">
        <w:t xml:space="preserve"> </w:t>
      </w:r>
      <w:proofErr w:type="spellStart"/>
      <w:r w:rsidR="00D343B0" w:rsidRPr="00D343B0">
        <w:t>through</w:t>
      </w:r>
      <w:proofErr w:type="spellEnd"/>
      <w:r w:rsidR="00D343B0" w:rsidRPr="00D343B0">
        <w:t xml:space="preserve"> </w:t>
      </w:r>
      <w:proofErr w:type="spellStart"/>
      <w:r w:rsidR="00D343B0" w:rsidRPr="00D343B0">
        <w:t>integration</w:t>
      </w:r>
      <w:proofErr w:type="spellEnd"/>
      <w:r w:rsidR="00D343B0" w:rsidRPr="00D343B0">
        <w:t xml:space="preserve"> of </w:t>
      </w:r>
      <w:proofErr w:type="spellStart"/>
      <w:r w:rsidR="00D343B0" w:rsidRPr="00D343B0">
        <w:t>meta</w:t>
      </w:r>
      <w:proofErr w:type="spellEnd"/>
      <w:r w:rsidR="00D343B0" w:rsidRPr="00D343B0">
        <w:t xml:space="preserve">-QTL and </w:t>
      </w:r>
      <w:proofErr w:type="spellStart"/>
      <w:r w:rsidR="00D343B0" w:rsidRPr="00D343B0">
        <w:t>transcriptomic</w:t>
      </w:r>
      <w:proofErr w:type="spellEnd"/>
      <w:r w:rsidR="00D343B0" w:rsidRPr="00D343B0">
        <w:t xml:space="preserve"> data. BMC </w:t>
      </w:r>
      <w:proofErr w:type="spellStart"/>
      <w:r w:rsidR="00D343B0" w:rsidRPr="00D343B0">
        <w:t>Genomics</w:t>
      </w:r>
      <w:proofErr w:type="spellEnd"/>
      <w:r w:rsidR="00D343B0" w:rsidRPr="00D343B0">
        <w:t xml:space="preserve"> 20, 739. </w:t>
      </w:r>
      <w:hyperlink r:id="rId6" w:history="1">
        <w:r w:rsidR="00D343B0" w:rsidRPr="00D343B0">
          <w:rPr>
            <w:rStyle w:val="Lienhypertexte"/>
          </w:rPr>
          <w:t>https://doi.org/10.1186/s12864-019-6124-0</w:t>
        </w:r>
      </w:hyperlink>
    </w:p>
    <w:p w:rsidR="00A824A4" w:rsidRPr="00A824A4" w:rsidRDefault="00A824A4" w:rsidP="00513210">
      <w:pPr>
        <w:spacing w:before="80" w:after="80"/>
        <w:ind w:left="360" w:hanging="360"/>
        <w:jc w:val="both"/>
      </w:pPr>
      <w:proofErr w:type="spellStart"/>
      <w:r>
        <w:rPr>
          <w:b/>
        </w:rPr>
        <w:t>Doligez</w:t>
      </w:r>
      <w:proofErr w:type="spellEnd"/>
      <w:r>
        <w:rPr>
          <w:b/>
        </w:rPr>
        <w:t xml:space="preserve"> et al. </w:t>
      </w:r>
      <w:r w:rsidRPr="00A824A4">
        <w:rPr>
          <w:b/>
        </w:rPr>
        <w:t>(2010)</w:t>
      </w:r>
      <w:r>
        <w:rPr>
          <w:b/>
        </w:rPr>
        <w:t xml:space="preserve"> </w:t>
      </w:r>
      <w:proofErr w:type="spellStart"/>
      <w:r>
        <w:t>QTLs</w:t>
      </w:r>
      <w:proofErr w:type="spellEnd"/>
      <w:r>
        <w:t xml:space="preserve"> for </w:t>
      </w:r>
      <w:proofErr w:type="spellStart"/>
      <w:r>
        <w:t>fertility</w:t>
      </w:r>
      <w:proofErr w:type="spellEnd"/>
      <w:r>
        <w:t xml:space="preserve"> in table </w:t>
      </w:r>
      <w:proofErr w:type="spellStart"/>
      <w:r>
        <w:t>grape</w:t>
      </w:r>
      <w:proofErr w:type="spellEnd"/>
      <w:r>
        <w:t xml:space="preserve"> (</w:t>
      </w:r>
      <w:r>
        <w:rPr>
          <w:i/>
          <w:iCs/>
        </w:rPr>
        <w:t xml:space="preserve">Vitis </w:t>
      </w:r>
      <w:proofErr w:type="spellStart"/>
      <w:r>
        <w:rPr>
          <w:i/>
          <w:iCs/>
        </w:rPr>
        <w:t>vinifera</w:t>
      </w:r>
      <w:proofErr w:type="spellEnd"/>
      <w:r>
        <w:t xml:space="preserve"> L.). </w:t>
      </w:r>
      <w:proofErr w:type="spellStart"/>
      <w:r w:rsidRPr="00A824A4">
        <w:t>Tree</w:t>
      </w:r>
      <w:proofErr w:type="spellEnd"/>
      <w:r w:rsidRPr="00A824A4">
        <w:t xml:space="preserve"> </w:t>
      </w:r>
      <w:proofErr w:type="spellStart"/>
      <w:r w:rsidRPr="00A824A4">
        <w:t>Genetics</w:t>
      </w:r>
      <w:proofErr w:type="spellEnd"/>
      <w:r w:rsidRPr="00A824A4">
        <w:t xml:space="preserve"> &amp; </w:t>
      </w:r>
      <w:proofErr w:type="spellStart"/>
      <w:r w:rsidRPr="00A824A4">
        <w:t>Genomes</w:t>
      </w:r>
      <w:proofErr w:type="spellEnd"/>
      <w:r w:rsidRPr="00A824A4">
        <w:t xml:space="preserve"> 6, 413–422. </w:t>
      </w:r>
      <w:hyperlink r:id="rId7" w:history="1">
        <w:r w:rsidRPr="00A824A4">
          <w:rPr>
            <w:rStyle w:val="Lienhypertexte"/>
          </w:rPr>
          <w:t>https://doi.org/10.1007/s11295-009-0259-0</w:t>
        </w:r>
      </w:hyperlink>
    </w:p>
    <w:p w:rsidR="00513210" w:rsidRDefault="00513210" w:rsidP="00513210">
      <w:pPr>
        <w:spacing w:before="80" w:after="80"/>
        <w:ind w:left="360" w:hanging="360"/>
        <w:jc w:val="both"/>
        <w:rPr>
          <w:color w:val="1155CC"/>
          <w:u w:val="single"/>
        </w:rPr>
      </w:pPr>
      <w:r w:rsidRPr="00513210">
        <w:rPr>
          <w:b/>
        </w:rPr>
        <w:lastRenderedPageBreak/>
        <w:t xml:space="preserve">Nicolas </w:t>
      </w:r>
      <w:r w:rsidRPr="00513210">
        <w:rPr>
          <w:b/>
          <w:i/>
        </w:rPr>
        <w:t>et al.</w:t>
      </w:r>
      <w:r>
        <w:t xml:space="preserve"> </w:t>
      </w:r>
      <w:r w:rsidRPr="00A824A4">
        <w:rPr>
          <w:b/>
        </w:rPr>
        <w:t>(2016)</w:t>
      </w:r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, linkage </w:t>
      </w:r>
      <w:proofErr w:type="spellStart"/>
      <w:r>
        <w:t>disequilibrium</w:t>
      </w:r>
      <w:proofErr w:type="spellEnd"/>
      <w:r>
        <w:t xml:space="preserve"> and power of a large </w:t>
      </w:r>
      <w:proofErr w:type="spellStart"/>
      <w:r>
        <w:t>grapevine</w:t>
      </w:r>
      <w:proofErr w:type="spellEnd"/>
      <w:r>
        <w:t xml:space="preserve"> (</w:t>
      </w:r>
      <w:r>
        <w:rPr>
          <w:i/>
        </w:rPr>
        <w:t xml:space="preserve">Vitis </w:t>
      </w:r>
      <w:proofErr w:type="spellStart"/>
      <w:r>
        <w:rPr>
          <w:i/>
        </w:rPr>
        <w:t>vinifera</w:t>
      </w:r>
      <w:proofErr w:type="spellEnd"/>
      <w:r>
        <w:t xml:space="preserve"> L.) </w:t>
      </w:r>
      <w:proofErr w:type="spellStart"/>
      <w:r>
        <w:t>diversity</w:t>
      </w:r>
      <w:proofErr w:type="spellEnd"/>
      <w:r>
        <w:t xml:space="preserve"> panel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for association </w:t>
      </w:r>
      <w:proofErr w:type="spellStart"/>
      <w:r>
        <w:t>studies</w:t>
      </w:r>
      <w:proofErr w:type="spellEnd"/>
      <w:r>
        <w:t xml:space="preserve">. </w:t>
      </w:r>
      <w:r>
        <w:rPr>
          <w:i/>
        </w:rPr>
        <w:t xml:space="preserve">BMC Plant </w:t>
      </w:r>
      <w:proofErr w:type="spellStart"/>
      <w:r>
        <w:rPr>
          <w:i/>
        </w:rPr>
        <w:t>Biol</w:t>
      </w:r>
      <w:proofErr w:type="spellEnd"/>
      <w:r>
        <w:t xml:space="preserve"> 16, 74. </w:t>
      </w:r>
      <w:hyperlink r:id="rId8">
        <w:r>
          <w:rPr>
            <w:color w:val="1155CC"/>
            <w:u w:val="single"/>
          </w:rPr>
          <w:t>https://doi.org/10.1186/s12870-016-0754-z</w:t>
        </w:r>
      </w:hyperlink>
    </w:p>
    <w:p w:rsidR="00E36032" w:rsidRDefault="00FA128C" w:rsidP="00513210">
      <w:pPr>
        <w:spacing w:before="80" w:after="80"/>
        <w:ind w:left="360" w:hanging="360"/>
        <w:jc w:val="both"/>
        <w:rPr>
          <w:rStyle w:val="Lienhypertexte"/>
        </w:rPr>
      </w:pPr>
      <w:r w:rsidRPr="00FA128C">
        <w:rPr>
          <w:b/>
        </w:rPr>
        <w:t>García de Cortázar-</w:t>
      </w:r>
      <w:proofErr w:type="spellStart"/>
      <w:r w:rsidRPr="00FA128C">
        <w:rPr>
          <w:b/>
        </w:rPr>
        <w:t>Atauri</w:t>
      </w:r>
      <w:proofErr w:type="spellEnd"/>
      <w:r w:rsidRPr="00FA128C">
        <w:rPr>
          <w:b/>
        </w:rPr>
        <w:t xml:space="preserve"> </w:t>
      </w:r>
      <w:r w:rsidRPr="00FA128C">
        <w:rPr>
          <w:b/>
          <w:i/>
        </w:rPr>
        <w:t>et al.</w:t>
      </w:r>
      <w:r>
        <w:t xml:space="preserve"> </w:t>
      </w:r>
      <w:r w:rsidR="00E36032" w:rsidRPr="00A824A4">
        <w:rPr>
          <w:b/>
        </w:rPr>
        <w:t>(2017)</w:t>
      </w:r>
      <w:r w:rsidR="00E36032" w:rsidRPr="00E36032">
        <w:t xml:space="preserve">. </w:t>
      </w:r>
      <w:proofErr w:type="spellStart"/>
      <w:r w:rsidR="00E36032" w:rsidRPr="00E36032">
        <w:t>Grapevine</w:t>
      </w:r>
      <w:proofErr w:type="spellEnd"/>
      <w:r w:rsidR="00E36032" w:rsidRPr="00E36032">
        <w:t xml:space="preserve"> </w:t>
      </w:r>
      <w:proofErr w:type="spellStart"/>
      <w:r w:rsidR="00E36032" w:rsidRPr="00E36032">
        <w:t>phenology</w:t>
      </w:r>
      <w:proofErr w:type="spellEnd"/>
      <w:r w:rsidR="00E36032" w:rsidRPr="00E36032">
        <w:t xml:space="preserve"> in France: </w:t>
      </w:r>
      <w:proofErr w:type="spellStart"/>
      <w:r w:rsidR="00E36032" w:rsidRPr="00E36032">
        <w:t>from</w:t>
      </w:r>
      <w:proofErr w:type="spellEnd"/>
      <w:r w:rsidR="00E36032" w:rsidRPr="00E36032">
        <w:t xml:space="preserve"> </w:t>
      </w:r>
      <w:proofErr w:type="spellStart"/>
      <w:r w:rsidR="00E36032" w:rsidRPr="00E36032">
        <w:t>past</w:t>
      </w:r>
      <w:proofErr w:type="spellEnd"/>
      <w:r w:rsidR="00E36032" w:rsidRPr="00E36032">
        <w:t xml:space="preserve"> observations to future </w:t>
      </w:r>
      <w:proofErr w:type="spellStart"/>
      <w:r w:rsidR="00E36032" w:rsidRPr="00E36032">
        <w:t>evolutions</w:t>
      </w:r>
      <w:proofErr w:type="spellEnd"/>
      <w:r w:rsidR="00E36032" w:rsidRPr="00E36032">
        <w:t xml:space="preserve"> in the </w:t>
      </w:r>
      <w:proofErr w:type="spellStart"/>
      <w:r w:rsidR="00E36032" w:rsidRPr="00E36032">
        <w:t>context</w:t>
      </w:r>
      <w:proofErr w:type="spellEnd"/>
      <w:r w:rsidR="00E36032" w:rsidRPr="00E36032">
        <w:t xml:space="preserve"> of </w:t>
      </w:r>
      <w:proofErr w:type="spellStart"/>
      <w:r w:rsidR="00E36032" w:rsidRPr="00E36032">
        <w:t>climate</w:t>
      </w:r>
      <w:proofErr w:type="spellEnd"/>
      <w:r w:rsidR="00E36032" w:rsidRPr="00E36032">
        <w:t xml:space="preserve"> ch</w:t>
      </w:r>
      <w:r>
        <w:t>ange. OENO One, 51</w:t>
      </w:r>
      <w:r w:rsidR="00E36032" w:rsidRPr="00E36032">
        <w:t xml:space="preserve">, 115–126. </w:t>
      </w:r>
      <w:hyperlink r:id="rId9" w:history="1">
        <w:r w:rsidRPr="0066334E">
          <w:rPr>
            <w:rStyle w:val="Lienhypertexte"/>
          </w:rPr>
          <w:t>https://doi.org/10.20870/oeno-one.2017.51.2.1622</w:t>
        </w:r>
      </w:hyperlink>
    </w:p>
    <w:p w:rsidR="00A824A4" w:rsidRDefault="00A824A4" w:rsidP="00513210">
      <w:pPr>
        <w:spacing w:before="80" w:after="80"/>
        <w:ind w:left="360" w:hanging="360"/>
        <w:jc w:val="both"/>
      </w:pPr>
      <w:r>
        <w:t xml:space="preserve">Laporte </w:t>
      </w:r>
      <w:r w:rsidRPr="00A824A4">
        <w:rPr>
          <w:i/>
        </w:rPr>
        <w:t>et al.</w:t>
      </w:r>
      <w:r w:rsidRPr="00A824A4">
        <w:t xml:space="preserve"> (2022) Efficient </w:t>
      </w:r>
      <w:proofErr w:type="spellStart"/>
      <w:r w:rsidRPr="00A824A4">
        <w:t>ReML</w:t>
      </w:r>
      <w:proofErr w:type="spellEnd"/>
      <w:r w:rsidRPr="00A824A4">
        <w:t xml:space="preserve"> </w:t>
      </w:r>
      <w:proofErr w:type="spellStart"/>
      <w:r w:rsidRPr="00A824A4">
        <w:t>inference</w:t>
      </w:r>
      <w:proofErr w:type="spellEnd"/>
      <w:r w:rsidRPr="00A824A4">
        <w:t xml:space="preserve"> in variance component mixed </w:t>
      </w:r>
      <w:proofErr w:type="spellStart"/>
      <w:r w:rsidRPr="00A824A4">
        <w:t>models</w:t>
      </w:r>
      <w:proofErr w:type="spellEnd"/>
      <w:r w:rsidRPr="00A824A4">
        <w:t xml:space="preserve"> </w:t>
      </w:r>
      <w:proofErr w:type="spellStart"/>
      <w:r w:rsidRPr="00A824A4">
        <w:t>using</w:t>
      </w:r>
      <w:proofErr w:type="spellEnd"/>
      <w:r w:rsidRPr="00A824A4">
        <w:t xml:space="preserve"> a Min-Max </w:t>
      </w:r>
      <w:proofErr w:type="spellStart"/>
      <w:r w:rsidRPr="00A824A4">
        <w:t>algorithm</w:t>
      </w:r>
      <w:proofErr w:type="spellEnd"/>
      <w:r w:rsidRPr="00A824A4">
        <w:t xml:space="preserve">. </w:t>
      </w:r>
      <w:proofErr w:type="spellStart"/>
      <w:r w:rsidRPr="00A824A4">
        <w:t>PLoS</w:t>
      </w:r>
      <w:proofErr w:type="spellEnd"/>
      <w:r w:rsidRPr="00A824A4">
        <w:t xml:space="preserve"> Comput </w:t>
      </w:r>
      <w:proofErr w:type="spellStart"/>
      <w:r w:rsidRPr="00A824A4">
        <w:t>Biol</w:t>
      </w:r>
      <w:proofErr w:type="spellEnd"/>
      <w:r w:rsidRPr="00A824A4">
        <w:t xml:space="preserve"> 18(1): e1009659. </w:t>
      </w:r>
      <w:hyperlink r:id="rId10" w:history="1">
        <w:r w:rsidRPr="007935E8">
          <w:rPr>
            <w:rStyle w:val="Lienhypertexte"/>
          </w:rPr>
          <w:t>https://doi.org/10.1371/journal.pcbi.1009659</w:t>
        </w:r>
      </w:hyperlink>
    </w:p>
    <w:p w:rsidR="00A824A4" w:rsidRDefault="00A824A4" w:rsidP="00513210">
      <w:pPr>
        <w:spacing w:before="80" w:after="80"/>
        <w:ind w:left="360" w:hanging="360"/>
        <w:jc w:val="both"/>
      </w:pPr>
      <w:r w:rsidRPr="00A824A4">
        <w:rPr>
          <w:b/>
        </w:rPr>
        <w:t xml:space="preserve">Segura </w:t>
      </w:r>
      <w:r w:rsidRPr="00A824A4">
        <w:rPr>
          <w:b/>
          <w:i/>
        </w:rPr>
        <w:t>et al.</w:t>
      </w:r>
      <w:r w:rsidRPr="00A824A4">
        <w:rPr>
          <w:b/>
        </w:rPr>
        <w:t xml:space="preserve"> (2012)</w:t>
      </w:r>
      <w:r>
        <w:t xml:space="preserve"> </w:t>
      </w:r>
      <w:r w:rsidRPr="00A824A4">
        <w:t xml:space="preserve">An efficient multi-locus mixed-model </w:t>
      </w:r>
      <w:proofErr w:type="spellStart"/>
      <w:r w:rsidRPr="00A824A4">
        <w:t>approach</w:t>
      </w:r>
      <w:proofErr w:type="spellEnd"/>
      <w:r w:rsidRPr="00A824A4">
        <w:t xml:space="preserve"> for </w:t>
      </w:r>
      <w:proofErr w:type="spellStart"/>
      <w:r w:rsidRPr="00A824A4">
        <w:t>genome-wide</w:t>
      </w:r>
      <w:proofErr w:type="spellEnd"/>
      <w:r w:rsidRPr="00A824A4">
        <w:t xml:space="preserve"> association </w:t>
      </w:r>
      <w:proofErr w:type="spellStart"/>
      <w:r w:rsidRPr="00A824A4">
        <w:t>studies</w:t>
      </w:r>
      <w:proofErr w:type="spellEnd"/>
      <w:r w:rsidRPr="00A824A4">
        <w:t xml:space="preserve"> in </w:t>
      </w:r>
      <w:proofErr w:type="spellStart"/>
      <w:r w:rsidRPr="00A824A4">
        <w:t>structured</w:t>
      </w:r>
      <w:proofErr w:type="spellEnd"/>
      <w:r w:rsidRPr="00A824A4">
        <w:t xml:space="preserve"> populations. Nat Genet 44, 825–830. </w:t>
      </w:r>
      <w:hyperlink r:id="rId11" w:history="1">
        <w:r w:rsidRPr="007935E8">
          <w:rPr>
            <w:rStyle w:val="Lienhypertexte"/>
          </w:rPr>
          <w:t>https://doi.org/10.1038/ng.2314</w:t>
        </w:r>
      </w:hyperlink>
    </w:p>
    <w:p w:rsidR="00A824A4" w:rsidRDefault="00A824A4" w:rsidP="00513210">
      <w:pPr>
        <w:spacing w:before="80" w:after="80"/>
        <w:ind w:left="360" w:hanging="360"/>
        <w:jc w:val="both"/>
      </w:pPr>
      <w:proofErr w:type="gramStart"/>
      <w:r w:rsidRPr="00F54487">
        <w:t>van</w:t>
      </w:r>
      <w:proofErr w:type="gramEnd"/>
      <w:r w:rsidRPr="00F54487">
        <w:t xml:space="preserve"> Leeuwen</w:t>
      </w:r>
      <w:r>
        <w:t xml:space="preserve"> </w:t>
      </w:r>
      <w:r w:rsidRPr="00D3250D">
        <w:rPr>
          <w:i/>
        </w:rPr>
        <w:t>et al.</w:t>
      </w:r>
      <w:r>
        <w:t xml:space="preserve"> </w:t>
      </w:r>
      <w:r w:rsidRPr="00F54487">
        <w:t xml:space="preserve">(2024). </w:t>
      </w:r>
      <w:proofErr w:type="spellStart"/>
      <w:r w:rsidRPr="00F54487">
        <w:t>Climate</w:t>
      </w:r>
      <w:proofErr w:type="spellEnd"/>
      <w:r w:rsidRPr="00F54487">
        <w:t xml:space="preserve"> change impacts and adaptations of </w:t>
      </w:r>
      <w:proofErr w:type="spellStart"/>
      <w:r w:rsidRPr="00F54487">
        <w:t>wine</w:t>
      </w:r>
      <w:proofErr w:type="spellEnd"/>
      <w:r w:rsidRPr="00F54487">
        <w:t xml:space="preserve"> production. Nat </w:t>
      </w:r>
      <w:proofErr w:type="spellStart"/>
      <w:r w:rsidRPr="00F54487">
        <w:t>Rev</w:t>
      </w:r>
      <w:proofErr w:type="spellEnd"/>
      <w:r w:rsidRPr="00F54487">
        <w:t xml:space="preserve"> </w:t>
      </w:r>
      <w:proofErr w:type="spellStart"/>
      <w:r w:rsidRPr="00F54487">
        <w:t>Earth</w:t>
      </w:r>
      <w:proofErr w:type="spellEnd"/>
      <w:r w:rsidRPr="00F54487">
        <w:t xml:space="preserve"> Environ 5, 258–275. </w:t>
      </w:r>
      <w:hyperlink r:id="rId12" w:history="1">
        <w:r w:rsidRPr="007935E8">
          <w:rPr>
            <w:rStyle w:val="Lienhypertexte"/>
          </w:rPr>
          <w:t>https://doi.org/10.1038/s43017-024-00521-5</w:t>
        </w:r>
      </w:hyperlink>
    </w:p>
    <w:p w:rsidR="008E3C9F" w:rsidRDefault="008E3C9F" w:rsidP="00513210">
      <w:pPr>
        <w:spacing w:before="80" w:after="80"/>
        <w:ind w:left="360" w:hanging="360"/>
        <w:jc w:val="both"/>
        <w:rPr>
          <w:rStyle w:val="normaltextrun"/>
          <w:rFonts w:cstheme="minorHAnsi"/>
          <w:b/>
          <w:bCs/>
          <w:color w:val="000000"/>
        </w:rPr>
      </w:pPr>
      <w:proofErr w:type="spellStart"/>
      <w:r w:rsidRPr="008E3C9F">
        <w:rPr>
          <w:rStyle w:val="normaltextrun"/>
          <w:rFonts w:cstheme="minorHAnsi"/>
          <w:b/>
          <w:bCs/>
          <w:color w:val="000000"/>
        </w:rPr>
        <w:t>Vezzulli</w:t>
      </w:r>
      <w:proofErr w:type="spellEnd"/>
      <w:r>
        <w:rPr>
          <w:rStyle w:val="normaltextrun"/>
          <w:rFonts w:cstheme="minorHAnsi"/>
          <w:b/>
          <w:bCs/>
          <w:color w:val="000000"/>
        </w:rPr>
        <w:t xml:space="preserve"> </w:t>
      </w:r>
      <w:r w:rsidRPr="00A824A4">
        <w:rPr>
          <w:rStyle w:val="normaltextrun"/>
          <w:rFonts w:cstheme="minorHAnsi"/>
          <w:b/>
          <w:bCs/>
          <w:i/>
          <w:color w:val="000000"/>
        </w:rPr>
        <w:t>et al.</w:t>
      </w:r>
      <w:r>
        <w:rPr>
          <w:rStyle w:val="normaltextrun"/>
          <w:rFonts w:cstheme="minorHAnsi"/>
          <w:b/>
          <w:bCs/>
          <w:color w:val="000000"/>
        </w:rPr>
        <w:t xml:space="preserve"> </w:t>
      </w:r>
      <w:r w:rsidRPr="008E3C9F">
        <w:rPr>
          <w:rStyle w:val="normaltextrun"/>
          <w:rFonts w:cstheme="minorHAnsi"/>
          <w:b/>
          <w:bCs/>
          <w:color w:val="000000"/>
        </w:rPr>
        <w:t xml:space="preserve">(2019). 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Molecular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 xml:space="preserve"> 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Mapping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 xml:space="preserve"> of 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Grapevine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 xml:space="preserve"> 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Genes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 xml:space="preserve">. In: 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Cantu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>, D., Walker, M. (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eds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 xml:space="preserve">) The 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Grape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 xml:space="preserve"> 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Genome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 xml:space="preserve">. Compendium of Plant </w:t>
      </w:r>
      <w:proofErr w:type="spellStart"/>
      <w:r w:rsidRPr="008E3C9F">
        <w:rPr>
          <w:rStyle w:val="normaltextrun"/>
          <w:rFonts w:cstheme="minorHAnsi"/>
          <w:bCs/>
          <w:color w:val="000000"/>
        </w:rPr>
        <w:t>Genomes</w:t>
      </w:r>
      <w:proofErr w:type="spellEnd"/>
      <w:r w:rsidRPr="008E3C9F">
        <w:rPr>
          <w:rStyle w:val="normaltextrun"/>
          <w:rFonts w:cstheme="minorHAnsi"/>
          <w:bCs/>
          <w:color w:val="000000"/>
        </w:rPr>
        <w:t xml:space="preserve">. Springer, Cham. </w:t>
      </w:r>
      <w:hyperlink r:id="rId13" w:history="1">
        <w:r w:rsidRPr="008E3C9F">
          <w:rPr>
            <w:rStyle w:val="Lienhypertexte"/>
            <w:rFonts w:cstheme="minorHAnsi"/>
            <w:bCs/>
          </w:rPr>
          <w:t>https://doi.org/10.1007/978-3-030-18601-2_7</w:t>
        </w:r>
      </w:hyperlink>
    </w:p>
    <w:p w:rsidR="00F54487" w:rsidRDefault="00F54487" w:rsidP="00513210">
      <w:pPr>
        <w:spacing w:before="80" w:after="80"/>
        <w:ind w:left="360" w:hanging="360"/>
        <w:jc w:val="both"/>
      </w:pPr>
    </w:p>
    <w:p w:rsidR="00FE17F9" w:rsidRPr="00593EA1" w:rsidRDefault="00FE17F9" w:rsidP="00593EA1">
      <w:pPr>
        <w:jc w:val="both"/>
        <w:rPr>
          <w:rFonts w:cstheme="minorHAnsi"/>
          <w:sz w:val="24"/>
          <w:szCs w:val="24"/>
        </w:rPr>
      </w:pPr>
    </w:p>
    <w:sectPr w:rsidR="00FE17F9" w:rsidRPr="00593EA1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0E" w:rsidRDefault="00CA1F0E" w:rsidP="00CD70D5">
      <w:pPr>
        <w:spacing w:after="0" w:line="240" w:lineRule="auto"/>
      </w:pPr>
      <w:r>
        <w:separator/>
      </w:r>
    </w:p>
  </w:endnote>
  <w:endnote w:type="continuationSeparator" w:id="0">
    <w:p w:rsidR="00CA1F0E" w:rsidRDefault="00CA1F0E" w:rsidP="00CD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212156061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9314E0" w:rsidRDefault="009314E0" w:rsidP="009E2B0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9314E0" w:rsidRDefault="009314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340846853"/>
      <w:docPartObj>
        <w:docPartGallery w:val="Page Numbers (Bottom of Page)"/>
        <w:docPartUnique/>
      </w:docPartObj>
    </w:sdtPr>
    <w:sdtEndPr>
      <w:rPr>
        <w:rStyle w:val="Numrodepage"/>
        <w:sz w:val="18"/>
        <w:szCs w:val="18"/>
      </w:rPr>
    </w:sdtEndPr>
    <w:sdtContent>
      <w:p w:rsidR="009314E0" w:rsidRPr="009314E0" w:rsidRDefault="009314E0" w:rsidP="009E2B07">
        <w:pPr>
          <w:pStyle w:val="Pieddepage"/>
          <w:framePr w:wrap="none" w:vAnchor="text" w:hAnchor="margin" w:xAlign="center" w:y="1"/>
          <w:rPr>
            <w:rStyle w:val="Numrodepage"/>
            <w:sz w:val="18"/>
            <w:szCs w:val="18"/>
          </w:rPr>
        </w:pPr>
        <w:r w:rsidRPr="009314E0">
          <w:rPr>
            <w:rStyle w:val="Numrodepage"/>
            <w:sz w:val="18"/>
            <w:szCs w:val="18"/>
          </w:rPr>
          <w:fldChar w:fldCharType="begin"/>
        </w:r>
        <w:r w:rsidRPr="009314E0">
          <w:rPr>
            <w:rStyle w:val="Numrodepage"/>
            <w:sz w:val="18"/>
            <w:szCs w:val="18"/>
          </w:rPr>
          <w:instrText xml:space="preserve"> PAGE </w:instrText>
        </w:r>
        <w:r w:rsidRPr="009314E0">
          <w:rPr>
            <w:rStyle w:val="Numrodepage"/>
            <w:sz w:val="18"/>
            <w:szCs w:val="18"/>
          </w:rPr>
          <w:fldChar w:fldCharType="separate"/>
        </w:r>
        <w:r w:rsidR="004507E8">
          <w:rPr>
            <w:rStyle w:val="Numrodepage"/>
            <w:noProof/>
            <w:sz w:val="18"/>
            <w:szCs w:val="18"/>
          </w:rPr>
          <w:t>3</w:t>
        </w:r>
        <w:r w:rsidRPr="009314E0">
          <w:rPr>
            <w:rStyle w:val="Numrodepage"/>
            <w:sz w:val="18"/>
            <w:szCs w:val="18"/>
          </w:rPr>
          <w:fldChar w:fldCharType="end"/>
        </w:r>
      </w:p>
    </w:sdtContent>
  </w:sdt>
  <w:p w:rsidR="009314E0" w:rsidRPr="009314E0" w:rsidRDefault="009314E0">
    <w:pPr>
      <w:pStyle w:val="Pieddepage"/>
      <w:rPr>
        <w:sz w:val="18"/>
        <w:szCs w:val="18"/>
      </w:rPr>
    </w:pPr>
    <w:r w:rsidRPr="009314E0">
      <w:rPr>
        <w:sz w:val="18"/>
        <w:szCs w:val="18"/>
      </w:rPr>
      <w:ptab w:relativeTo="margin" w:alignment="center" w:leader="none"/>
    </w:r>
    <w:r w:rsidRPr="009314E0">
      <w:rPr>
        <w:sz w:val="18"/>
        <w:szCs w:val="18"/>
      </w:rPr>
      <w:ptab w:relativeTo="margin" w:alignment="right" w:leader="none"/>
    </w:r>
    <w:r w:rsidRPr="009314E0">
      <w:rPr>
        <w:sz w:val="18"/>
        <w:szCs w:val="18"/>
      </w:rPr>
      <w:t>Version - février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0E" w:rsidRDefault="00CA1F0E" w:rsidP="00CD70D5">
      <w:pPr>
        <w:spacing w:after="0" w:line="240" w:lineRule="auto"/>
      </w:pPr>
      <w:r>
        <w:separator/>
      </w:r>
    </w:p>
  </w:footnote>
  <w:footnote w:type="continuationSeparator" w:id="0">
    <w:p w:rsidR="00CA1F0E" w:rsidRDefault="00CA1F0E" w:rsidP="00CD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D5" w:rsidRDefault="002342E9">
    <w:pPr>
      <w:pStyle w:val="En-tte"/>
    </w:pPr>
    <w:r>
      <w:rPr>
        <w:rFonts w:cstheme="minorHAnsi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2CB15A3A">
          <wp:simplePos x="0" y="0"/>
          <wp:positionH relativeFrom="column">
            <wp:posOffset>3002280</wp:posOffset>
          </wp:positionH>
          <wp:positionV relativeFrom="paragraph">
            <wp:posOffset>-261669</wp:posOffset>
          </wp:positionV>
          <wp:extent cx="3277773" cy="486319"/>
          <wp:effectExtent l="0" t="0" r="0" b="0"/>
          <wp:wrapSquare wrapText="bothSides"/>
          <wp:docPr id="2182043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04335" name="Image 218204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773" cy="486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-668020</wp:posOffset>
          </wp:positionH>
          <wp:positionV relativeFrom="paragraph">
            <wp:posOffset>-259080</wp:posOffset>
          </wp:positionV>
          <wp:extent cx="1477108" cy="581758"/>
          <wp:effectExtent l="0" t="0" r="0" b="2540"/>
          <wp:wrapSquare wrapText="bothSides"/>
          <wp:docPr id="1404682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68262" name="Image 1404682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108" cy="581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0D5" w:rsidRDefault="00CD70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F9"/>
    <w:rsid w:val="000745F2"/>
    <w:rsid w:val="000C141B"/>
    <w:rsid w:val="000C5DA1"/>
    <w:rsid w:val="000E093F"/>
    <w:rsid w:val="000F5925"/>
    <w:rsid w:val="001044AD"/>
    <w:rsid w:val="00122353"/>
    <w:rsid w:val="00122454"/>
    <w:rsid w:val="00152918"/>
    <w:rsid w:val="00165245"/>
    <w:rsid w:val="001B0C49"/>
    <w:rsid w:val="002070BD"/>
    <w:rsid w:val="00216D1C"/>
    <w:rsid w:val="00223F26"/>
    <w:rsid w:val="002342E9"/>
    <w:rsid w:val="00241024"/>
    <w:rsid w:val="00242629"/>
    <w:rsid w:val="0027190C"/>
    <w:rsid w:val="002C6D18"/>
    <w:rsid w:val="002D3D4E"/>
    <w:rsid w:val="002E70AA"/>
    <w:rsid w:val="002F6855"/>
    <w:rsid w:val="003038E0"/>
    <w:rsid w:val="00310922"/>
    <w:rsid w:val="003714F0"/>
    <w:rsid w:val="004117A3"/>
    <w:rsid w:val="004507E8"/>
    <w:rsid w:val="00450D5E"/>
    <w:rsid w:val="00484DB7"/>
    <w:rsid w:val="004F0121"/>
    <w:rsid w:val="004F4997"/>
    <w:rsid w:val="005011E6"/>
    <w:rsid w:val="00513210"/>
    <w:rsid w:val="005671CD"/>
    <w:rsid w:val="00581110"/>
    <w:rsid w:val="00590E35"/>
    <w:rsid w:val="00593EA1"/>
    <w:rsid w:val="005B45B6"/>
    <w:rsid w:val="005E0458"/>
    <w:rsid w:val="00602921"/>
    <w:rsid w:val="006309B7"/>
    <w:rsid w:val="00635466"/>
    <w:rsid w:val="0063756F"/>
    <w:rsid w:val="006710C8"/>
    <w:rsid w:val="006D2B90"/>
    <w:rsid w:val="006D6823"/>
    <w:rsid w:val="007773B4"/>
    <w:rsid w:val="007A438E"/>
    <w:rsid w:val="007B3459"/>
    <w:rsid w:val="007C3134"/>
    <w:rsid w:val="00824028"/>
    <w:rsid w:val="00854EF8"/>
    <w:rsid w:val="0088048A"/>
    <w:rsid w:val="008E3C9F"/>
    <w:rsid w:val="008F59C3"/>
    <w:rsid w:val="00914ADD"/>
    <w:rsid w:val="009314E0"/>
    <w:rsid w:val="00933015"/>
    <w:rsid w:val="00950DEA"/>
    <w:rsid w:val="00994C5B"/>
    <w:rsid w:val="009E0F2A"/>
    <w:rsid w:val="009E5B42"/>
    <w:rsid w:val="009F0400"/>
    <w:rsid w:val="009F7D2C"/>
    <w:rsid w:val="00A32612"/>
    <w:rsid w:val="00A7536A"/>
    <w:rsid w:val="00A810D8"/>
    <w:rsid w:val="00A824A4"/>
    <w:rsid w:val="00AC5C18"/>
    <w:rsid w:val="00AD7142"/>
    <w:rsid w:val="00AE09E2"/>
    <w:rsid w:val="00AE219D"/>
    <w:rsid w:val="00AF0DF6"/>
    <w:rsid w:val="00B113F3"/>
    <w:rsid w:val="00B1739D"/>
    <w:rsid w:val="00B325C5"/>
    <w:rsid w:val="00B36506"/>
    <w:rsid w:val="00B81EC5"/>
    <w:rsid w:val="00B86CB7"/>
    <w:rsid w:val="00B9347C"/>
    <w:rsid w:val="00B9799A"/>
    <w:rsid w:val="00BC1916"/>
    <w:rsid w:val="00BC299F"/>
    <w:rsid w:val="00C01DA4"/>
    <w:rsid w:val="00C16D39"/>
    <w:rsid w:val="00C53381"/>
    <w:rsid w:val="00C53D9D"/>
    <w:rsid w:val="00CA1F0E"/>
    <w:rsid w:val="00CC79BF"/>
    <w:rsid w:val="00CD70D5"/>
    <w:rsid w:val="00D3250D"/>
    <w:rsid w:val="00D343B0"/>
    <w:rsid w:val="00D43ED5"/>
    <w:rsid w:val="00D53018"/>
    <w:rsid w:val="00D609BA"/>
    <w:rsid w:val="00D81EBE"/>
    <w:rsid w:val="00DD3D80"/>
    <w:rsid w:val="00DD424C"/>
    <w:rsid w:val="00DE0AE6"/>
    <w:rsid w:val="00DF1B44"/>
    <w:rsid w:val="00DF37F0"/>
    <w:rsid w:val="00DF5B7C"/>
    <w:rsid w:val="00E26B04"/>
    <w:rsid w:val="00E3005F"/>
    <w:rsid w:val="00E36032"/>
    <w:rsid w:val="00E532AC"/>
    <w:rsid w:val="00F057D1"/>
    <w:rsid w:val="00F14D83"/>
    <w:rsid w:val="00F42B72"/>
    <w:rsid w:val="00F53C9F"/>
    <w:rsid w:val="00F54487"/>
    <w:rsid w:val="00F61467"/>
    <w:rsid w:val="00FA128C"/>
    <w:rsid w:val="00FB51B8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43A11-AFD1-4BA0-BD47-2C81CB55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FE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FE17F9"/>
  </w:style>
  <w:style w:type="character" w:customStyle="1" w:styleId="normaltextrun">
    <w:name w:val="normaltextrun"/>
    <w:basedOn w:val="Policepardfaut"/>
    <w:rsid w:val="00FE17F9"/>
  </w:style>
  <w:style w:type="paragraph" w:customStyle="1" w:styleId="Default">
    <w:name w:val="Default"/>
    <w:rsid w:val="00FE17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acimagecontainer">
    <w:name w:val="wacimagecontainer"/>
    <w:basedOn w:val="Policepardfaut"/>
    <w:rsid w:val="00FE17F9"/>
  </w:style>
  <w:style w:type="paragraph" w:styleId="En-tte">
    <w:name w:val="header"/>
    <w:basedOn w:val="Normal"/>
    <w:link w:val="En-tteCar"/>
    <w:uiPriority w:val="99"/>
    <w:unhideWhenUsed/>
    <w:rsid w:val="00CD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0D5"/>
  </w:style>
  <w:style w:type="paragraph" w:styleId="Pieddepage">
    <w:name w:val="footer"/>
    <w:basedOn w:val="Normal"/>
    <w:link w:val="PieddepageCar"/>
    <w:uiPriority w:val="99"/>
    <w:unhideWhenUsed/>
    <w:rsid w:val="00CD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0D5"/>
  </w:style>
  <w:style w:type="character" w:styleId="Numrodepage">
    <w:name w:val="page number"/>
    <w:basedOn w:val="Policepardfaut"/>
    <w:uiPriority w:val="99"/>
    <w:semiHidden/>
    <w:unhideWhenUsed/>
    <w:rsid w:val="009314E0"/>
  </w:style>
  <w:style w:type="character" w:styleId="Lienhypertexte">
    <w:name w:val="Hyperlink"/>
    <w:basedOn w:val="Policepardfaut"/>
    <w:uiPriority w:val="99"/>
    <w:unhideWhenUsed/>
    <w:rsid w:val="00854EF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4487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6D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70-016-0754-z" TargetMode="External"/><Relationship Id="rId13" Type="http://schemas.openxmlformats.org/officeDocument/2006/relationships/hyperlink" Target="https://doi.org/10.1007/978-3-030-18601-2_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1295-009-0259-0" TargetMode="External"/><Relationship Id="rId12" Type="http://schemas.openxmlformats.org/officeDocument/2006/relationships/hyperlink" Target="https://doi.org/10.1038/s43017-024-00521-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doi.org/10.1186/s12864-019-6124-0" TargetMode="External"/><Relationship Id="rId11" Type="http://schemas.openxmlformats.org/officeDocument/2006/relationships/hyperlink" Target="https://doi.org/10.1038/ng.231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i.org/10.1371/journal.pcbi.100965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20870/oeno-one.2017.51.2.162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1085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Cirad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MICHELI</dc:creator>
  <cp:keywords/>
  <dc:description/>
  <cp:lastModifiedBy>Agnes DOLIGEZ</cp:lastModifiedBy>
  <cp:revision>67</cp:revision>
  <dcterms:created xsi:type="dcterms:W3CDTF">2024-09-09T07:45:00Z</dcterms:created>
  <dcterms:modified xsi:type="dcterms:W3CDTF">2024-09-24T14:49:00Z</dcterms:modified>
</cp:coreProperties>
</file>