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14141" w14:textId="77777777" w:rsidR="0050726E" w:rsidRDefault="0050726E" w:rsidP="0018221C">
      <w:pPr>
        <w:tabs>
          <w:tab w:val="left" w:pos="2977"/>
        </w:tabs>
      </w:pPr>
    </w:p>
    <w:p w14:paraId="31C80BBC" w14:textId="0B19780B" w:rsidR="00590091" w:rsidRPr="00CD29E0" w:rsidRDefault="00590091" w:rsidP="00590091">
      <w:pPr>
        <w:spacing w:after="0" w:line="240" w:lineRule="auto"/>
        <w:jc w:val="center"/>
        <w:rPr>
          <w:rFonts w:asciiTheme="majorHAnsi" w:hAnsiTheme="majorHAnsi" w:cstheme="majorHAnsi"/>
          <w:b/>
          <w:bCs/>
          <w:sz w:val="32"/>
          <w:szCs w:val="32"/>
          <w:u w:val="single"/>
        </w:rPr>
      </w:pPr>
      <w:r w:rsidRPr="00CD29E0">
        <w:rPr>
          <w:rFonts w:asciiTheme="majorHAnsi" w:hAnsiTheme="majorHAnsi" w:cstheme="majorHAnsi"/>
          <w:b/>
          <w:bCs/>
          <w:sz w:val="32"/>
          <w:szCs w:val="32"/>
          <w:u w:val="single"/>
        </w:rPr>
        <w:t>Sujets de recherche 2023-2024</w:t>
      </w:r>
      <w:r>
        <w:rPr>
          <w:rFonts w:asciiTheme="majorHAnsi" w:hAnsiTheme="majorHAnsi" w:cstheme="majorHAnsi"/>
          <w:b/>
          <w:bCs/>
          <w:sz w:val="32"/>
          <w:szCs w:val="32"/>
          <w:u w:val="single"/>
        </w:rPr>
        <w:t xml:space="preserve"> - UR </w:t>
      </w:r>
      <w:proofErr w:type="spellStart"/>
      <w:r>
        <w:rPr>
          <w:rFonts w:asciiTheme="majorHAnsi" w:hAnsiTheme="majorHAnsi" w:cstheme="majorHAnsi"/>
          <w:b/>
          <w:bCs/>
          <w:sz w:val="32"/>
          <w:szCs w:val="32"/>
          <w:u w:val="single"/>
        </w:rPr>
        <w:t>BRALim</w:t>
      </w:r>
      <w:proofErr w:type="spellEnd"/>
    </w:p>
    <w:p w14:paraId="6276F074" w14:textId="77777777" w:rsidR="00590091" w:rsidRDefault="00590091" w:rsidP="00590091">
      <w:pPr>
        <w:spacing w:after="0" w:line="240" w:lineRule="auto"/>
        <w:jc w:val="center"/>
        <w:rPr>
          <w:b/>
          <w:bCs/>
          <w:u w:val="single"/>
        </w:rPr>
      </w:pPr>
    </w:p>
    <w:p w14:paraId="07F38516" w14:textId="77777777" w:rsidR="00590091" w:rsidRDefault="00590091" w:rsidP="00590091">
      <w:pPr>
        <w:spacing w:after="0" w:line="240" w:lineRule="auto"/>
        <w:jc w:val="center"/>
        <w:rPr>
          <w:b/>
          <w:bCs/>
          <w:u w:val="single"/>
        </w:rPr>
      </w:pPr>
    </w:p>
    <w:p w14:paraId="24454289" w14:textId="77777777" w:rsidR="00590091" w:rsidRDefault="00590091" w:rsidP="00590091">
      <w:pPr>
        <w:spacing w:after="0" w:line="240" w:lineRule="auto"/>
        <w:jc w:val="center"/>
        <w:rPr>
          <w:b/>
          <w:bCs/>
          <w:u w:val="single"/>
        </w:rPr>
      </w:pPr>
    </w:p>
    <w:p w14:paraId="10163553" w14:textId="77777777" w:rsidR="00590091" w:rsidRPr="00CD29E0" w:rsidRDefault="00590091" w:rsidP="00590091">
      <w:pPr>
        <w:pStyle w:val="Paragraphedeliste"/>
        <w:numPr>
          <w:ilvl w:val="0"/>
          <w:numId w:val="11"/>
        </w:numPr>
        <w:spacing w:after="0" w:line="240" w:lineRule="auto"/>
        <w:ind w:left="357" w:hanging="357"/>
        <w:jc w:val="both"/>
        <w:rPr>
          <w:rFonts w:asciiTheme="majorHAnsi" w:hAnsiTheme="majorHAnsi" w:cstheme="majorHAnsi"/>
          <w:b/>
          <w:bCs/>
          <w:sz w:val="24"/>
          <w:szCs w:val="24"/>
        </w:rPr>
      </w:pPr>
      <w:r w:rsidRPr="00CD29E0">
        <w:rPr>
          <w:rFonts w:asciiTheme="majorHAnsi" w:hAnsiTheme="majorHAnsi" w:cstheme="majorHAnsi"/>
          <w:b/>
          <w:bCs/>
          <w:sz w:val="24"/>
          <w:szCs w:val="24"/>
        </w:rPr>
        <w:t xml:space="preserve">Création de levures brassicoles hybrides par </w:t>
      </w:r>
      <w:r w:rsidRPr="00CD29E0">
        <w:rPr>
          <w:rFonts w:asciiTheme="majorHAnsi" w:hAnsiTheme="majorHAnsi" w:cstheme="majorHAnsi"/>
          <w:b/>
          <w:bCs/>
          <w:i/>
          <w:iCs/>
          <w:sz w:val="24"/>
          <w:szCs w:val="24"/>
        </w:rPr>
        <w:t xml:space="preserve">spore-to-spore </w:t>
      </w:r>
      <w:proofErr w:type="spellStart"/>
      <w:r w:rsidRPr="00CD29E0">
        <w:rPr>
          <w:rFonts w:asciiTheme="majorHAnsi" w:hAnsiTheme="majorHAnsi" w:cstheme="majorHAnsi"/>
          <w:b/>
          <w:bCs/>
          <w:i/>
          <w:iCs/>
          <w:sz w:val="24"/>
          <w:szCs w:val="24"/>
        </w:rPr>
        <w:t>mating</w:t>
      </w:r>
      <w:proofErr w:type="spellEnd"/>
      <w:r w:rsidRPr="00CD29E0">
        <w:rPr>
          <w:rFonts w:asciiTheme="majorHAnsi" w:hAnsiTheme="majorHAnsi" w:cstheme="majorHAnsi"/>
          <w:b/>
          <w:bCs/>
          <w:i/>
          <w:iCs/>
          <w:sz w:val="24"/>
          <w:szCs w:val="24"/>
        </w:rPr>
        <w:t xml:space="preserve"> </w:t>
      </w:r>
      <w:r w:rsidRPr="00CD29E0">
        <w:rPr>
          <w:rFonts w:asciiTheme="majorHAnsi" w:hAnsiTheme="majorHAnsi" w:cstheme="majorHAnsi"/>
          <w:b/>
          <w:bCs/>
          <w:sz w:val="24"/>
          <w:szCs w:val="24"/>
        </w:rPr>
        <w:t xml:space="preserve">et/ou par </w:t>
      </w:r>
      <w:r w:rsidRPr="00CD29E0">
        <w:rPr>
          <w:rFonts w:asciiTheme="majorHAnsi" w:hAnsiTheme="majorHAnsi" w:cstheme="majorHAnsi"/>
          <w:b/>
          <w:bCs/>
          <w:i/>
          <w:iCs/>
          <w:sz w:val="24"/>
          <w:szCs w:val="24"/>
        </w:rPr>
        <w:t xml:space="preserve">mass </w:t>
      </w:r>
      <w:proofErr w:type="spellStart"/>
      <w:r w:rsidRPr="00CD29E0">
        <w:rPr>
          <w:rFonts w:asciiTheme="majorHAnsi" w:hAnsiTheme="majorHAnsi" w:cstheme="majorHAnsi"/>
          <w:b/>
          <w:bCs/>
          <w:i/>
          <w:iCs/>
          <w:sz w:val="24"/>
          <w:szCs w:val="24"/>
        </w:rPr>
        <w:t>mating</w:t>
      </w:r>
      <w:proofErr w:type="spellEnd"/>
    </w:p>
    <w:p w14:paraId="3F08636E" w14:textId="77777777" w:rsidR="00590091" w:rsidRDefault="00590091" w:rsidP="00590091">
      <w:pPr>
        <w:spacing w:after="0" w:line="240" w:lineRule="auto"/>
        <w:jc w:val="both"/>
        <w:rPr>
          <w:i/>
          <w:iCs/>
        </w:rPr>
      </w:pPr>
    </w:p>
    <w:p w14:paraId="3FDB483B" w14:textId="77777777" w:rsidR="00590091" w:rsidRDefault="00590091" w:rsidP="00590091">
      <w:pPr>
        <w:spacing w:after="0" w:line="240" w:lineRule="auto"/>
        <w:jc w:val="both"/>
      </w:pPr>
      <w:r w:rsidRPr="00AF352E">
        <w:rPr>
          <w:i/>
          <w:iCs/>
        </w:rPr>
        <w:t xml:space="preserve">S. cerevisiae var. </w:t>
      </w:r>
      <w:proofErr w:type="spellStart"/>
      <w:r w:rsidRPr="00AF352E">
        <w:rPr>
          <w:i/>
          <w:iCs/>
        </w:rPr>
        <w:t>diastaticus</w:t>
      </w:r>
      <w:proofErr w:type="spellEnd"/>
      <w:r w:rsidRPr="00AF352E">
        <w:t xml:space="preserve"> </w:t>
      </w:r>
      <w:r>
        <w:t>peut être</w:t>
      </w:r>
      <w:r w:rsidRPr="00AF352E">
        <w:t xml:space="preserve"> responsable de refermentation en bouteilles ou en canettes</w:t>
      </w:r>
      <w:r>
        <w:t xml:space="preserve"> excessive</w:t>
      </w:r>
      <w:r w:rsidRPr="00AF352E">
        <w:t xml:space="preserve">, conduisant à l’explosion des contenants et donc à des pertes conséquentes pour le brasseur. </w:t>
      </w:r>
      <w:r>
        <w:rPr>
          <w:rFonts w:cstheme="minorHAnsi"/>
          <w:color w:val="000000"/>
          <w:szCs w:val="24"/>
        </w:rPr>
        <w:t xml:space="preserve">Ces souches particulières possèdent le gène chimérique </w:t>
      </w:r>
      <w:r w:rsidRPr="0067300E">
        <w:rPr>
          <w:rFonts w:cstheme="minorHAnsi"/>
          <w:i/>
          <w:color w:val="000000"/>
          <w:szCs w:val="24"/>
        </w:rPr>
        <w:t>STA1</w:t>
      </w:r>
      <w:r>
        <w:rPr>
          <w:rFonts w:cstheme="minorHAnsi"/>
          <w:color w:val="000000"/>
          <w:szCs w:val="24"/>
        </w:rPr>
        <w:t xml:space="preserve">, codant pour une enzyme excrétée, la </w:t>
      </w:r>
      <w:proofErr w:type="spellStart"/>
      <w:r>
        <w:rPr>
          <w:rFonts w:cstheme="minorHAnsi"/>
          <w:color w:val="000000"/>
          <w:szCs w:val="24"/>
        </w:rPr>
        <w:t>glucoamylase</w:t>
      </w:r>
      <w:proofErr w:type="spellEnd"/>
      <w:r>
        <w:rPr>
          <w:rFonts w:cstheme="minorHAnsi"/>
          <w:color w:val="000000"/>
          <w:szCs w:val="24"/>
        </w:rPr>
        <w:t xml:space="preserve">, capable de dégrader l’amidon et certaines dextrines, prolongeant ainsi la fermentation. </w:t>
      </w:r>
      <w:r w:rsidRPr="00AF352E">
        <w:t xml:space="preserve">Afin d’éliminer cette caractéristique (caractère </w:t>
      </w:r>
      <w:proofErr w:type="spellStart"/>
      <w:r w:rsidRPr="00AF352E">
        <w:t>diastaticus</w:t>
      </w:r>
      <w:proofErr w:type="spellEnd"/>
      <w:r w:rsidRPr="00AF352E">
        <w:t xml:space="preserve">) tout en conservant les propriétés sensorielles de la souche (profil aromatique fruité et phénolique), une des pistes est de la croiser à une levure </w:t>
      </w:r>
      <w:r w:rsidRPr="004A6DFA">
        <w:rPr>
          <w:i/>
          <w:iCs/>
        </w:rPr>
        <w:t xml:space="preserve">S. </w:t>
      </w:r>
      <w:proofErr w:type="spellStart"/>
      <w:r w:rsidRPr="004A6DFA">
        <w:rPr>
          <w:i/>
          <w:iCs/>
        </w:rPr>
        <w:t>pastorianus</w:t>
      </w:r>
      <w:proofErr w:type="spellEnd"/>
      <w:r>
        <w:t xml:space="preserve"> ou </w:t>
      </w:r>
      <w:r w:rsidRPr="008D6BC2">
        <w:rPr>
          <w:i/>
          <w:iCs/>
        </w:rPr>
        <w:t>S. cerevisiae</w:t>
      </w:r>
      <w:r>
        <w:t>.</w:t>
      </w:r>
    </w:p>
    <w:p w14:paraId="5A6ECE08" w14:textId="77777777" w:rsidR="00590091" w:rsidRDefault="00590091" w:rsidP="00590091">
      <w:pPr>
        <w:spacing w:after="0" w:line="240" w:lineRule="auto"/>
        <w:jc w:val="both"/>
      </w:pPr>
      <w:r>
        <w:t>Les</w:t>
      </w:r>
      <w:r w:rsidRPr="00AF352E">
        <w:t xml:space="preserve"> approche</w:t>
      </w:r>
      <w:r>
        <w:t>s</w:t>
      </w:r>
      <w:r w:rsidRPr="00AF352E">
        <w:t xml:space="preserve"> envisagée</w:t>
      </w:r>
      <w:r>
        <w:t>s</w:t>
      </w:r>
      <w:r w:rsidRPr="00AF352E">
        <w:t xml:space="preserve"> </w:t>
      </w:r>
      <w:r>
        <w:t>sont</w:t>
      </w:r>
      <w:r w:rsidRPr="00AF352E">
        <w:t xml:space="preserve"> </w:t>
      </w:r>
      <w:r>
        <w:t xml:space="preserve">la conjugaison entre spores, la conjugaison rare et la fusion de protoplastes (seule cette technique a été étudiée à ce jour). </w:t>
      </w:r>
    </w:p>
    <w:p w14:paraId="67E2F780" w14:textId="77777777" w:rsidR="00590091" w:rsidRDefault="00590091" w:rsidP="00590091">
      <w:pPr>
        <w:spacing w:after="0" w:line="240" w:lineRule="auto"/>
        <w:jc w:val="both"/>
      </w:pPr>
    </w:p>
    <w:p w14:paraId="093DC73D" w14:textId="77777777" w:rsidR="00590091" w:rsidRDefault="00590091" w:rsidP="00590091">
      <w:pPr>
        <w:spacing w:after="0" w:line="240" w:lineRule="auto"/>
        <w:jc w:val="both"/>
      </w:pPr>
      <w:r>
        <w:t>Les étapes du projet comprennent :</w:t>
      </w:r>
    </w:p>
    <w:p w14:paraId="22112B8E" w14:textId="77777777" w:rsidR="00590091" w:rsidRDefault="00590091" w:rsidP="00590091">
      <w:pPr>
        <w:pStyle w:val="Paragraphedeliste"/>
        <w:numPr>
          <w:ilvl w:val="0"/>
          <w:numId w:val="10"/>
        </w:numPr>
        <w:spacing w:after="0" w:line="240" w:lineRule="auto"/>
        <w:jc w:val="both"/>
      </w:pPr>
      <w:r>
        <w:t>L’é</w:t>
      </w:r>
      <w:r w:rsidRPr="00C7027D">
        <w:t>valu</w:t>
      </w:r>
      <w:r>
        <w:t>ation de</w:t>
      </w:r>
      <w:r w:rsidRPr="00C7027D">
        <w:t xml:space="preserve"> la possibilité de faire sporuler les souches </w:t>
      </w:r>
      <w:r w:rsidRPr="00C91C2F">
        <w:rPr>
          <w:i/>
          <w:iCs/>
        </w:rPr>
        <w:t xml:space="preserve">S. </w:t>
      </w:r>
      <w:proofErr w:type="spellStart"/>
      <w:r w:rsidRPr="00C91C2F">
        <w:rPr>
          <w:i/>
          <w:iCs/>
        </w:rPr>
        <w:t>diastaticus</w:t>
      </w:r>
      <w:proofErr w:type="spellEnd"/>
      <w:r w:rsidRPr="00C91C2F">
        <w:rPr>
          <w:i/>
          <w:iCs/>
        </w:rPr>
        <w:t xml:space="preserve"> </w:t>
      </w:r>
      <w:r w:rsidRPr="00C7027D">
        <w:t>LS1009</w:t>
      </w:r>
      <w:r>
        <w:t xml:space="preserve"> (diploïde)</w:t>
      </w:r>
      <w:r w:rsidRPr="00C7027D">
        <w:t xml:space="preserve">, </w:t>
      </w:r>
      <w:r w:rsidRPr="00C91C2F">
        <w:rPr>
          <w:i/>
          <w:iCs/>
        </w:rPr>
        <w:t>S. </w:t>
      </w:r>
      <w:proofErr w:type="spellStart"/>
      <w:r w:rsidRPr="00C91C2F">
        <w:rPr>
          <w:i/>
          <w:iCs/>
        </w:rPr>
        <w:t>pastorianus</w:t>
      </w:r>
      <w:proofErr w:type="spellEnd"/>
      <w:r w:rsidRPr="00C91C2F">
        <w:rPr>
          <w:i/>
          <w:iCs/>
        </w:rPr>
        <w:t xml:space="preserve"> </w:t>
      </w:r>
      <w:r w:rsidRPr="00C7027D">
        <w:t xml:space="preserve">LS2018 </w:t>
      </w:r>
      <w:r>
        <w:t xml:space="preserve">(diploïde) </w:t>
      </w:r>
      <w:r w:rsidRPr="00C7027D">
        <w:t xml:space="preserve">et </w:t>
      </w:r>
      <w:r w:rsidRPr="00C91C2F">
        <w:rPr>
          <w:i/>
          <w:iCs/>
        </w:rPr>
        <w:t xml:space="preserve">S. cerevisiae </w:t>
      </w:r>
      <w:r w:rsidRPr="00C7027D">
        <w:t>LS5003</w:t>
      </w:r>
      <w:r>
        <w:t xml:space="preserve"> (ploïdie pas encore connue)</w:t>
      </w:r>
      <w:r>
        <w:rPr>
          <w:rStyle w:val="Appelnotedebasdep"/>
        </w:rPr>
        <w:footnoteReference w:id="1"/>
      </w:r>
      <w:r>
        <w:t> ;</w:t>
      </w:r>
    </w:p>
    <w:p w14:paraId="07C0A980" w14:textId="77777777" w:rsidR="00590091" w:rsidRDefault="00590091" w:rsidP="00590091">
      <w:pPr>
        <w:pStyle w:val="Paragraphedeliste"/>
        <w:numPr>
          <w:ilvl w:val="0"/>
          <w:numId w:val="10"/>
        </w:numPr>
        <w:spacing w:after="0" w:line="240" w:lineRule="auto"/>
        <w:jc w:val="both"/>
      </w:pPr>
      <w:r>
        <w:t xml:space="preserve">L’utilisation du </w:t>
      </w:r>
      <w:proofErr w:type="spellStart"/>
      <w:r w:rsidRPr="0065137B">
        <w:rPr>
          <w:i/>
          <w:iCs/>
        </w:rPr>
        <w:t>spore</w:t>
      </w:r>
      <w:proofErr w:type="spellEnd"/>
      <w:r w:rsidRPr="0065137B">
        <w:rPr>
          <w:i/>
          <w:iCs/>
        </w:rPr>
        <w:t xml:space="preserve">-to-spore </w:t>
      </w:r>
      <w:proofErr w:type="spellStart"/>
      <w:r>
        <w:t>mating</w:t>
      </w:r>
      <w:proofErr w:type="spellEnd"/>
      <w:r>
        <w:t xml:space="preserve"> et du </w:t>
      </w:r>
      <w:r w:rsidRPr="0065137B">
        <w:rPr>
          <w:i/>
          <w:iCs/>
        </w:rPr>
        <w:t xml:space="preserve">mass </w:t>
      </w:r>
      <w:proofErr w:type="spellStart"/>
      <w:r w:rsidRPr="0065137B">
        <w:rPr>
          <w:i/>
          <w:iCs/>
        </w:rPr>
        <w:t>mating</w:t>
      </w:r>
      <w:proofErr w:type="spellEnd"/>
      <w:r w:rsidRPr="0065137B">
        <w:rPr>
          <w:i/>
          <w:iCs/>
        </w:rPr>
        <w:t xml:space="preserve"> </w:t>
      </w:r>
      <w:r>
        <w:t>pour créer de nouveaux candidats hybrides diploïdes)</w:t>
      </w:r>
      <w:r>
        <w:rPr>
          <w:rStyle w:val="Appelnotedebasdep"/>
        </w:rPr>
        <w:footnoteReference w:id="2"/>
      </w:r>
      <w:r>
        <w:t> ;</w:t>
      </w:r>
    </w:p>
    <w:p w14:paraId="05334ED9" w14:textId="77777777" w:rsidR="00590091" w:rsidRDefault="00590091" w:rsidP="00590091">
      <w:pPr>
        <w:pStyle w:val="Paragraphedeliste"/>
        <w:numPr>
          <w:ilvl w:val="0"/>
          <w:numId w:val="10"/>
        </w:numPr>
        <w:spacing w:after="0" w:line="240" w:lineRule="auto"/>
        <w:jc w:val="both"/>
      </w:pPr>
      <w:r>
        <w:t xml:space="preserve">La recherche de </w:t>
      </w:r>
      <w:r w:rsidRPr="007A5493">
        <w:rPr>
          <w:i/>
          <w:iCs/>
        </w:rPr>
        <w:t xml:space="preserve">STA1 </w:t>
      </w:r>
      <w:r>
        <w:t>par PCR chez les différents candidats ;</w:t>
      </w:r>
    </w:p>
    <w:p w14:paraId="1C6488EA" w14:textId="77777777" w:rsidR="00590091" w:rsidRDefault="00590091" w:rsidP="00590091">
      <w:pPr>
        <w:pStyle w:val="Paragraphedeliste"/>
        <w:numPr>
          <w:ilvl w:val="0"/>
          <w:numId w:val="10"/>
        </w:numPr>
        <w:spacing w:after="0" w:line="240" w:lineRule="auto"/>
        <w:jc w:val="both"/>
      </w:pPr>
      <w:r>
        <w:t>Des essais de fermentation pour évaluer l’attribut aromatique et le degré de fermentation des candidats hybrides.</w:t>
      </w:r>
    </w:p>
    <w:p w14:paraId="57E547AE" w14:textId="77777777" w:rsidR="00590091" w:rsidRDefault="00590091" w:rsidP="00590091">
      <w:pPr>
        <w:spacing w:after="0" w:line="240" w:lineRule="auto"/>
        <w:jc w:val="both"/>
      </w:pPr>
    </w:p>
    <w:p w14:paraId="11FBD3C7" w14:textId="77777777" w:rsidR="00590091" w:rsidRDefault="00590091" w:rsidP="00590091">
      <w:pPr>
        <w:spacing w:after="0" w:line="240" w:lineRule="auto"/>
        <w:jc w:val="both"/>
      </w:pPr>
    </w:p>
    <w:p w14:paraId="04F82C8C" w14:textId="77777777" w:rsidR="00590091" w:rsidRPr="00CD29E0" w:rsidRDefault="00590091" w:rsidP="00590091">
      <w:pPr>
        <w:pStyle w:val="Paragraphedeliste"/>
        <w:numPr>
          <w:ilvl w:val="0"/>
          <w:numId w:val="11"/>
        </w:numPr>
        <w:spacing w:after="0" w:line="240" w:lineRule="auto"/>
        <w:ind w:left="357" w:hanging="357"/>
        <w:jc w:val="both"/>
        <w:rPr>
          <w:rFonts w:asciiTheme="majorHAnsi" w:hAnsiTheme="majorHAnsi" w:cstheme="majorHAnsi"/>
          <w:b/>
          <w:bCs/>
          <w:sz w:val="24"/>
          <w:szCs w:val="24"/>
        </w:rPr>
      </w:pPr>
      <w:r w:rsidRPr="00CD29E0">
        <w:rPr>
          <w:rFonts w:asciiTheme="majorHAnsi" w:hAnsiTheme="majorHAnsi" w:cstheme="majorHAnsi"/>
          <w:b/>
          <w:bCs/>
          <w:sz w:val="24"/>
          <w:szCs w:val="24"/>
        </w:rPr>
        <w:t xml:space="preserve">Mise au point d’une recette de </w:t>
      </w:r>
      <w:proofErr w:type="spellStart"/>
      <w:r w:rsidRPr="00CD29E0">
        <w:rPr>
          <w:rFonts w:asciiTheme="majorHAnsi" w:hAnsiTheme="majorHAnsi" w:cstheme="majorHAnsi"/>
          <w:b/>
          <w:bCs/>
          <w:i/>
          <w:iCs/>
          <w:sz w:val="24"/>
          <w:szCs w:val="24"/>
        </w:rPr>
        <w:t>ginger</w:t>
      </w:r>
      <w:proofErr w:type="spellEnd"/>
      <w:r w:rsidRPr="00CD29E0">
        <w:rPr>
          <w:rFonts w:asciiTheme="majorHAnsi" w:hAnsiTheme="majorHAnsi" w:cstheme="majorHAnsi"/>
          <w:b/>
          <w:bCs/>
          <w:i/>
          <w:iCs/>
          <w:sz w:val="24"/>
          <w:szCs w:val="24"/>
        </w:rPr>
        <w:t xml:space="preserve"> </w:t>
      </w:r>
      <w:proofErr w:type="spellStart"/>
      <w:r w:rsidRPr="00CD29E0">
        <w:rPr>
          <w:rFonts w:asciiTheme="majorHAnsi" w:hAnsiTheme="majorHAnsi" w:cstheme="majorHAnsi"/>
          <w:b/>
          <w:bCs/>
          <w:i/>
          <w:iCs/>
          <w:sz w:val="24"/>
          <w:szCs w:val="24"/>
        </w:rPr>
        <w:t>beer</w:t>
      </w:r>
      <w:proofErr w:type="spellEnd"/>
      <w:r w:rsidRPr="00CD29E0">
        <w:rPr>
          <w:rFonts w:asciiTheme="majorHAnsi" w:hAnsiTheme="majorHAnsi" w:cstheme="majorHAnsi"/>
          <w:b/>
          <w:bCs/>
          <w:sz w:val="24"/>
          <w:szCs w:val="24"/>
        </w:rPr>
        <w:t>, caractérisation du produit fini</w:t>
      </w:r>
      <w:r w:rsidRPr="00CD29E0">
        <w:rPr>
          <w:rFonts w:asciiTheme="majorHAnsi" w:hAnsiTheme="majorHAnsi" w:cstheme="majorHAnsi"/>
          <w:b/>
          <w:bCs/>
          <w:i/>
          <w:iCs/>
          <w:sz w:val="24"/>
          <w:szCs w:val="24"/>
        </w:rPr>
        <w:t xml:space="preserve"> </w:t>
      </w:r>
      <w:r w:rsidRPr="00CD29E0">
        <w:rPr>
          <w:rFonts w:asciiTheme="majorHAnsi" w:hAnsiTheme="majorHAnsi" w:cstheme="majorHAnsi"/>
          <w:b/>
          <w:bCs/>
          <w:sz w:val="24"/>
          <w:szCs w:val="24"/>
        </w:rPr>
        <w:t>et évaluation de l’impact des microorganismes utilisés pour la fermentation</w:t>
      </w:r>
    </w:p>
    <w:p w14:paraId="3FD1B3A0" w14:textId="77777777" w:rsidR="00590091" w:rsidRDefault="00590091" w:rsidP="00590091">
      <w:pPr>
        <w:pStyle w:val="Paragraphedeliste"/>
        <w:spacing w:after="0" w:line="240" w:lineRule="auto"/>
        <w:ind w:left="0"/>
        <w:jc w:val="both"/>
      </w:pPr>
    </w:p>
    <w:p w14:paraId="6AE4E6E0" w14:textId="77777777" w:rsidR="00590091" w:rsidRDefault="00590091" w:rsidP="00590091">
      <w:pPr>
        <w:pStyle w:val="Paragraphedeliste"/>
        <w:spacing w:after="0" w:line="240" w:lineRule="auto"/>
        <w:ind w:left="0"/>
        <w:jc w:val="both"/>
      </w:pPr>
      <w:r>
        <w:t>La bière traditionnelle Ginger est obtenue par ajout de gingembre frais en macération après 1</w:t>
      </w:r>
      <w:r w:rsidRPr="00C61EB8">
        <w:rPr>
          <w:vertAlign w:val="superscript"/>
        </w:rPr>
        <w:t>e</w:t>
      </w:r>
      <w:r>
        <w:t xml:space="preserve"> fermentation</w:t>
      </w:r>
      <w:r>
        <w:rPr>
          <w:vertAlign w:val="superscript"/>
        </w:rPr>
        <w:t>3</w:t>
      </w:r>
      <w:r>
        <w:t xml:space="preserve"> ou fermentation directe d’un jus sucré additionné de gingembre frais. Le projet propose d’évaluer :</w:t>
      </w:r>
    </w:p>
    <w:p w14:paraId="6A7A12D6" w14:textId="77777777" w:rsidR="00590091" w:rsidRDefault="00590091" w:rsidP="00590091">
      <w:pPr>
        <w:pStyle w:val="Paragraphedeliste"/>
        <w:numPr>
          <w:ilvl w:val="0"/>
          <w:numId w:val="10"/>
        </w:numPr>
        <w:spacing w:after="0" w:line="240" w:lineRule="auto"/>
        <w:jc w:val="both"/>
      </w:pPr>
      <w:r>
        <w:t>D’évaluer la faisabilité d’une fermentation spontanée à partir des racines de gingembre comme alternative (caractérisation du microbiote des racines de gingembre)</w:t>
      </w:r>
      <w:r>
        <w:rPr>
          <w:rStyle w:val="Appelnotedebasdep"/>
        </w:rPr>
        <w:footnoteReference w:id="3"/>
      </w:r>
    </w:p>
    <w:p w14:paraId="6831987F" w14:textId="77777777" w:rsidR="00590091" w:rsidRDefault="00590091" w:rsidP="00590091">
      <w:pPr>
        <w:pStyle w:val="Paragraphedeliste"/>
        <w:numPr>
          <w:ilvl w:val="0"/>
          <w:numId w:val="10"/>
        </w:numPr>
        <w:spacing w:after="0" w:line="240" w:lineRule="auto"/>
        <w:jc w:val="both"/>
      </w:pPr>
      <w:r>
        <w:t>De réaliser des fermentations avec un consortium défini de levures/bactéries (ce qui implique la pasteurisation de la matière première, le gingembre) </w:t>
      </w:r>
    </w:p>
    <w:p w14:paraId="51B42A89" w14:textId="77777777" w:rsidR="00590091" w:rsidRDefault="00590091" w:rsidP="00590091">
      <w:pPr>
        <w:pStyle w:val="Paragraphedeliste"/>
        <w:numPr>
          <w:ilvl w:val="0"/>
          <w:numId w:val="10"/>
        </w:numPr>
        <w:spacing w:after="0" w:line="240" w:lineRule="auto"/>
        <w:jc w:val="both"/>
      </w:pPr>
      <w:r>
        <w:t>D’évaluer la possibilité d’obtenir des produits avec ou sans alcool </w:t>
      </w:r>
      <w:r>
        <w:sym w:font="Wingdings" w:char="F0E0"/>
      </w:r>
      <w:r>
        <w:t xml:space="preserve"> importance de la levure utilisée</w:t>
      </w:r>
    </w:p>
    <w:p w14:paraId="07D0A0EA" w14:textId="77777777" w:rsidR="00590091" w:rsidRDefault="00590091" w:rsidP="00590091">
      <w:pPr>
        <w:pStyle w:val="Paragraphedeliste"/>
        <w:numPr>
          <w:ilvl w:val="0"/>
          <w:numId w:val="10"/>
        </w:numPr>
        <w:spacing w:after="0" w:line="240" w:lineRule="auto"/>
        <w:jc w:val="both"/>
      </w:pPr>
      <w:r>
        <w:t xml:space="preserve">De définir la composition des </w:t>
      </w:r>
      <w:proofErr w:type="spellStart"/>
      <w:r>
        <w:t>ginger</w:t>
      </w:r>
      <w:proofErr w:type="spellEnd"/>
      <w:r>
        <w:t xml:space="preserve"> </w:t>
      </w:r>
      <w:proofErr w:type="spellStart"/>
      <w:r>
        <w:t>beers</w:t>
      </w:r>
      <w:proofErr w:type="spellEnd"/>
      <w:r>
        <w:t xml:space="preserve"> commerciales et les qualités nutritionnelles des boissons obtenues (pouvoir antioxydant</w:t>
      </w:r>
      <w:r w:rsidRPr="007A6A4F">
        <w:rPr>
          <w:vertAlign w:val="superscript"/>
        </w:rPr>
        <w:t>3</w:t>
      </w:r>
      <w:r>
        <w:t>, propriétés antiinflammatoires</w:t>
      </w:r>
      <w:r>
        <w:rPr>
          <w:rStyle w:val="Appelnotedebasdep"/>
        </w:rPr>
        <w:footnoteReference w:id="4"/>
      </w:r>
      <w:r>
        <w:t>).</w:t>
      </w:r>
    </w:p>
    <w:p w14:paraId="69B9EDFF" w14:textId="77777777" w:rsidR="00590091" w:rsidRDefault="00590091" w:rsidP="00590091">
      <w:pPr>
        <w:pStyle w:val="Paragraphedeliste"/>
        <w:spacing w:after="0" w:line="240" w:lineRule="auto"/>
        <w:jc w:val="both"/>
      </w:pPr>
    </w:p>
    <w:p w14:paraId="1CEC4A4C" w14:textId="77777777" w:rsidR="00590091" w:rsidRDefault="00590091" w:rsidP="00590091">
      <w:pPr>
        <w:pStyle w:val="Paragraphedeliste"/>
        <w:spacing w:after="0" w:line="240" w:lineRule="auto"/>
        <w:jc w:val="both"/>
      </w:pPr>
    </w:p>
    <w:p w14:paraId="2FEB0659" w14:textId="77777777" w:rsidR="00590091" w:rsidRPr="00D10AF4"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r w:rsidRPr="00D10AF4">
        <w:rPr>
          <w:rFonts w:asciiTheme="majorHAnsi" w:hAnsiTheme="majorHAnsi" w:cstheme="majorHAnsi"/>
          <w:b/>
          <w:bCs/>
          <w:sz w:val="24"/>
          <w:szCs w:val="24"/>
        </w:rPr>
        <w:lastRenderedPageBreak/>
        <w:t>Fiabilisation de la fermentation du kombucha</w:t>
      </w:r>
      <w:r>
        <w:rPr>
          <w:rFonts w:asciiTheme="majorHAnsi" w:hAnsiTheme="majorHAnsi" w:cstheme="majorHAnsi"/>
          <w:b/>
          <w:bCs/>
          <w:sz w:val="24"/>
          <w:szCs w:val="24"/>
        </w:rPr>
        <w:t>/kéfir de lactosérum</w:t>
      </w:r>
      <w:r w:rsidRPr="00D10AF4">
        <w:rPr>
          <w:rFonts w:asciiTheme="majorHAnsi" w:hAnsiTheme="majorHAnsi" w:cstheme="majorHAnsi"/>
          <w:b/>
          <w:bCs/>
          <w:sz w:val="24"/>
          <w:szCs w:val="24"/>
        </w:rPr>
        <w:t xml:space="preserve"> et détermination de </w:t>
      </w:r>
      <w:r>
        <w:rPr>
          <w:rFonts w:asciiTheme="majorHAnsi" w:hAnsiTheme="majorHAnsi" w:cstheme="majorHAnsi"/>
          <w:b/>
          <w:bCs/>
          <w:sz w:val="24"/>
          <w:szCs w:val="24"/>
        </w:rPr>
        <w:t>leurs</w:t>
      </w:r>
      <w:r w:rsidRPr="00D10AF4">
        <w:rPr>
          <w:rFonts w:asciiTheme="majorHAnsi" w:hAnsiTheme="majorHAnsi" w:cstheme="majorHAnsi"/>
          <w:b/>
          <w:bCs/>
          <w:sz w:val="24"/>
          <w:szCs w:val="24"/>
        </w:rPr>
        <w:t xml:space="preserve"> propriétés ‘pro-santé’</w:t>
      </w:r>
    </w:p>
    <w:p w14:paraId="665F5BC5" w14:textId="77777777" w:rsidR="00590091" w:rsidRDefault="00590091" w:rsidP="00590091">
      <w:pPr>
        <w:spacing w:after="0" w:line="240" w:lineRule="auto"/>
        <w:jc w:val="both"/>
      </w:pPr>
      <w:r>
        <w:t>Le kombucha est une boisson rafraîchissante issue de la fermentation de thé sucré par une culture symbiotique de bactéries acétiques et de levures. Cette boisson est souvent mise en avant pour ses effets bénéfiques sur la santé : renforcement des fonctions intestinales, stimulation du système immunitaire, réduction des réactions inflammatoires, anti-cancéreux, …</w:t>
      </w:r>
    </w:p>
    <w:p w14:paraId="735093CB" w14:textId="77777777" w:rsidR="00590091" w:rsidRDefault="00590091" w:rsidP="00590091">
      <w:pPr>
        <w:spacing w:after="0" w:line="240" w:lineRule="auto"/>
        <w:jc w:val="both"/>
      </w:pPr>
      <w:r>
        <w:t>Le lactosérum est un sous-produit de l’industrie laitière, obtenu par la coagulation de lait lors de la fabrication de fromage. La production de kéfir de lactosérum est une alternative pour la valorisation ce lactosérum excédentaire.</w:t>
      </w:r>
      <w:r>
        <w:rPr>
          <w:rStyle w:val="Appelnotedebasdep"/>
        </w:rPr>
        <w:footnoteReference w:id="5"/>
      </w:r>
    </w:p>
    <w:p w14:paraId="7542BCEB" w14:textId="77777777" w:rsidR="00590091" w:rsidRDefault="00590091" w:rsidP="00590091">
      <w:pPr>
        <w:spacing w:after="0" w:line="240" w:lineRule="auto"/>
        <w:jc w:val="both"/>
      </w:pPr>
      <w:r>
        <w:t>Pour les deux boissons, le but est d’établir une recette et de constituer un consortium de microorganismes standard pour une production reproductible. Les étapes pour atteindre cet objectif sont :</w:t>
      </w:r>
    </w:p>
    <w:p w14:paraId="1C566C0C" w14:textId="77777777" w:rsidR="00590091" w:rsidRDefault="00590091" w:rsidP="00590091">
      <w:pPr>
        <w:pStyle w:val="Paragraphedeliste"/>
        <w:numPr>
          <w:ilvl w:val="0"/>
          <w:numId w:val="10"/>
        </w:numPr>
        <w:spacing w:after="0" w:line="240" w:lineRule="auto"/>
        <w:jc w:val="both"/>
      </w:pPr>
      <w:r>
        <w:t>Évaluer la reproductibilité du processus de fermentation et la qualité des produits fermentés en réalisant plusieurs essais de fermentation de manière indépendante avec des consortia définis</w:t>
      </w:r>
    </w:p>
    <w:p w14:paraId="3A7BD8C2" w14:textId="77777777" w:rsidR="00590091" w:rsidRDefault="00590091" w:rsidP="00590091">
      <w:pPr>
        <w:pStyle w:val="Paragraphedeliste"/>
        <w:numPr>
          <w:ilvl w:val="0"/>
          <w:numId w:val="10"/>
        </w:numPr>
        <w:spacing w:after="0" w:line="240" w:lineRule="auto"/>
        <w:jc w:val="both"/>
      </w:pPr>
      <w:r>
        <w:t>Étudier l’impact de la composition des milieux de fermentations (thé et teneur en sucre pour le kombucha ; origine du lactosérum pour le kéfir) sur les propriétés physicochimiques des produits fermentés.</w:t>
      </w:r>
    </w:p>
    <w:p w14:paraId="3C37607F" w14:textId="77777777" w:rsidR="00590091" w:rsidRDefault="00590091" w:rsidP="00590091">
      <w:pPr>
        <w:pStyle w:val="Paragraphedeliste"/>
        <w:numPr>
          <w:ilvl w:val="0"/>
          <w:numId w:val="10"/>
        </w:numPr>
        <w:spacing w:after="0" w:line="240" w:lineRule="auto"/>
        <w:jc w:val="both"/>
      </w:pPr>
      <w:r>
        <w:t>Evaluer le rôle et l’impact du taux d’ensemencement des différents partenaires microbiens sur les boissons</w:t>
      </w:r>
    </w:p>
    <w:p w14:paraId="337DAFB2" w14:textId="77777777" w:rsidR="00590091" w:rsidRPr="00C805E9" w:rsidRDefault="00590091" w:rsidP="00590091">
      <w:pPr>
        <w:pStyle w:val="Paragraphedeliste"/>
        <w:numPr>
          <w:ilvl w:val="0"/>
          <w:numId w:val="10"/>
        </w:numPr>
        <w:spacing w:after="0" w:line="240" w:lineRule="auto"/>
        <w:jc w:val="both"/>
      </w:pPr>
      <w:r w:rsidRPr="00C805E9">
        <w:t>Évaluer les propriétés pro-santé (in vitro) :</w:t>
      </w:r>
      <w:r>
        <w:t xml:space="preserve"> pouvoir antioxydant (teneur en polyphénols, test DPPH et </w:t>
      </w:r>
      <w:r w:rsidRPr="00D75AB2">
        <w:t>DCFH-DA</w:t>
      </w:r>
      <w:r>
        <w:t>), détoxifiant (acide glucuronique et DSL), …</w:t>
      </w:r>
    </w:p>
    <w:p w14:paraId="77CA050B" w14:textId="77777777" w:rsidR="00590091" w:rsidRPr="00602E40" w:rsidRDefault="00590091" w:rsidP="00590091">
      <w:pPr>
        <w:spacing w:after="0" w:line="240" w:lineRule="auto"/>
        <w:jc w:val="both"/>
        <w:rPr>
          <w:b/>
          <w:bCs/>
        </w:rPr>
      </w:pPr>
    </w:p>
    <w:p w14:paraId="1C307ED8" w14:textId="77777777" w:rsidR="00590091" w:rsidRDefault="00590091" w:rsidP="00590091">
      <w:pPr>
        <w:spacing w:after="0" w:line="240" w:lineRule="auto"/>
        <w:jc w:val="both"/>
      </w:pPr>
      <w:r>
        <w:t>Une commercialisation de ces boissons nécessite des tests de laboratoire (et pilote) afin de déterminer les paramètres importants à contrôler pour une production optimale et reproductible.</w:t>
      </w:r>
    </w:p>
    <w:p w14:paraId="0B7EE416" w14:textId="77777777" w:rsidR="00590091" w:rsidRDefault="00590091" w:rsidP="00590091">
      <w:pPr>
        <w:spacing w:after="0" w:line="240" w:lineRule="auto"/>
        <w:jc w:val="both"/>
      </w:pPr>
    </w:p>
    <w:p w14:paraId="1E00DBA3" w14:textId="77777777" w:rsidR="00590091" w:rsidRDefault="00590091" w:rsidP="00590091">
      <w:pPr>
        <w:spacing w:after="0" w:line="240" w:lineRule="auto"/>
        <w:jc w:val="both"/>
      </w:pPr>
    </w:p>
    <w:p w14:paraId="21F6C62C" w14:textId="77777777" w:rsidR="00590091" w:rsidRPr="00D10AF4"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r w:rsidRPr="00D10AF4">
        <w:rPr>
          <w:rFonts w:asciiTheme="majorHAnsi" w:hAnsiTheme="majorHAnsi" w:cstheme="majorHAnsi"/>
          <w:b/>
          <w:bCs/>
          <w:sz w:val="24"/>
          <w:szCs w:val="24"/>
        </w:rPr>
        <w:t xml:space="preserve">Extraction de molécules d’intérêt des levures excédentaires de brasserie, </w:t>
      </w:r>
      <w:r w:rsidRPr="00D10AF4">
        <w:rPr>
          <w:rFonts w:asciiTheme="majorHAnsi" w:eastAsia="Times New Roman" w:hAnsiTheme="majorHAnsi" w:cstheme="majorHAnsi"/>
          <w:b/>
          <w:bCs/>
          <w:sz w:val="24"/>
          <w:szCs w:val="24"/>
          <w:lang w:eastAsia="fr-BE"/>
        </w:rPr>
        <w:t>dans ce cadre du projet </w:t>
      </w:r>
      <w:proofErr w:type="spellStart"/>
      <w:r w:rsidRPr="00D10AF4">
        <w:rPr>
          <w:rFonts w:asciiTheme="majorHAnsi" w:eastAsia="Times New Roman" w:hAnsiTheme="majorHAnsi" w:cstheme="majorHAnsi"/>
          <w:b/>
          <w:bCs/>
          <w:sz w:val="24"/>
          <w:szCs w:val="24"/>
          <w:lang w:eastAsia="fr-BE"/>
        </w:rPr>
        <w:t>ValorBSY</w:t>
      </w:r>
      <w:proofErr w:type="spellEnd"/>
      <w:r w:rsidRPr="00D10AF4">
        <w:rPr>
          <w:rFonts w:asciiTheme="majorHAnsi" w:eastAsia="Times New Roman" w:hAnsiTheme="majorHAnsi" w:cstheme="majorHAnsi"/>
          <w:b/>
          <w:bCs/>
          <w:sz w:val="24"/>
          <w:szCs w:val="24"/>
          <w:lang w:eastAsia="fr-BE"/>
        </w:rPr>
        <w:t xml:space="preserve"> (Win4Collective) </w:t>
      </w:r>
    </w:p>
    <w:p w14:paraId="131D442E" w14:textId="77777777" w:rsidR="00590091" w:rsidRDefault="00590091" w:rsidP="00590091">
      <w:pPr>
        <w:pStyle w:val="Paragraphedeliste"/>
        <w:spacing w:after="0" w:line="240" w:lineRule="auto"/>
        <w:ind w:left="0"/>
        <w:jc w:val="both"/>
        <w:rPr>
          <w:rFonts w:ascii="Calibri" w:eastAsia="Times New Roman" w:hAnsi="Calibri" w:cs="Calibri"/>
          <w:lang w:eastAsia="fr-BE"/>
        </w:rPr>
      </w:pPr>
    </w:p>
    <w:p w14:paraId="64CD430B" w14:textId="77777777" w:rsidR="00590091" w:rsidRDefault="00590091" w:rsidP="00590091">
      <w:pPr>
        <w:pStyle w:val="Paragraphedeliste"/>
        <w:spacing w:after="0" w:line="240" w:lineRule="auto"/>
        <w:ind w:left="0"/>
        <w:jc w:val="both"/>
        <w:rPr>
          <w:rFonts w:ascii="Calibri" w:eastAsia="Times New Roman" w:hAnsi="Calibri" w:cs="Calibri"/>
          <w:lang w:eastAsia="fr-BE"/>
        </w:rPr>
      </w:pPr>
      <w:r>
        <w:rPr>
          <w:rFonts w:ascii="Calibri" w:eastAsia="Times New Roman" w:hAnsi="Calibri" w:cs="Calibri"/>
          <w:lang w:eastAsia="fr-BE"/>
        </w:rPr>
        <w:t>Il s’agit de</w:t>
      </w:r>
      <w:r w:rsidRPr="00947547">
        <w:rPr>
          <w:rFonts w:ascii="Calibri" w:eastAsia="Times New Roman" w:hAnsi="Calibri" w:cs="Calibri"/>
          <w:lang w:eastAsia="fr-BE"/>
        </w:rPr>
        <w:t xml:space="preserve"> valoriser un coproduit de la brasserie, la levure excédentaire (</w:t>
      </w:r>
      <w:proofErr w:type="spellStart"/>
      <w:r w:rsidRPr="00947547">
        <w:rPr>
          <w:rFonts w:ascii="Calibri" w:eastAsia="Times New Roman" w:hAnsi="Calibri" w:cs="Calibri"/>
          <w:lang w:eastAsia="fr-BE"/>
        </w:rPr>
        <w:t>Brewer’s</w:t>
      </w:r>
      <w:proofErr w:type="spellEnd"/>
      <w:r w:rsidRPr="00947547">
        <w:rPr>
          <w:rFonts w:ascii="Calibri" w:eastAsia="Times New Roman" w:hAnsi="Calibri" w:cs="Calibri"/>
          <w:lang w:eastAsia="fr-BE"/>
        </w:rPr>
        <w:t xml:space="preserve"> </w:t>
      </w:r>
      <w:proofErr w:type="spellStart"/>
      <w:r w:rsidRPr="00947547">
        <w:rPr>
          <w:rFonts w:ascii="Calibri" w:eastAsia="Times New Roman" w:hAnsi="Calibri" w:cs="Calibri"/>
          <w:lang w:eastAsia="fr-BE"/>
        </w:rPr>
        <w:t>Spent</w:t>
      </w:r>
      <w:proofErr w:type="spellEnd"/>
      <w:r w:rsidRPr="00947547">
        <w:rPr>
          <w:rFonts w:ascii="Calibri" w:eastAsia="Times New Roman" w:hAnsi="Calibri" w:cs="Calibri"/>
          <w:lang w:eastAsia="fr-BE"/>
        </w:rPr>
        <w:t xml:space="preserve"> </w:t>
      </w:r>
      <w:proofErr w:type="spellStart"/>
      <w:r w:rsidRPr="00947547">
        <w:rPr>
          <w:rFonts w:ascii="Calibri" w:eastAsia="Times New Roman" w:hAnsi="Calibri" w:cs="Calibri"/>
          <w:lang w:eastAsia="fr-BE"/>
        </w:rPr>
        <w:t>Yeast</w:t>
      </w:r>
      <w:proofErr w:type="spellEnd"/>
      <w:r>
        <w:rPr>
          <w:rFonts w:ascii="Calibri" w:eastAsia="Times New Roman" w:hAnsi="Calibri" w:cs="Calibri"/>
          <w:lang w:eastAsia="fr-BE"/>
        </w:rPr>
        <w:t xml:space="preserve">, </w:t>
      </w:r>
      <w:r w:rsidRPr="00947547">
        <w:rPr>
          <w:rFonts w:ascii="Calibri" w:eastAsia="Times New Roman" w:hAnsi="Calibri" w:cs="Calibri"/>
          <w:lang w:eastAsia="fr-BE"/>
        </w:rPr>
        <w:t>BSY). La valorisation proposée consiste d’une part à l’extraction à l’eau pressurisée de molécules d’intérêt à forte valeur ajoutée, des antioxydants, et d’autre part, à formuler des produits alimentaires (tels que des barres de céréales) profitant des propriétés nutritionnelles des résidus des cellules de levures.</w:t>
      </w:r>
    </w:p>
    <w:p w14:paraId="3191EEE3" w14:textId="77777777" w:rsidR="00590091" w:rsidRDefault="00590091" w:rsidP="00590091">
      <w:pPr>
        <w:spacing w:after="0" w:line="240" w:lineRule="auto"/>
        <w:jc w:val="both"/>
        <w:rPr>
          <w:rFonts w:ascii="Calibri" w:eastAsia="Times New Roman" w:hAnsi="Calibri" w:cs="Calibri"/>
          <w:lang w:eastAsia="fr-BE"/>
        </w:rPr>
      </w:pPr>
      <w:r w:rsidRPr="00DB0579">
        <w:rPr>
          <w:rFonts w:ascii="Calibri" w:eastAsia="Times New Roman" w:hAnsi="Calibri" w:cs="Calibri"/>
          <w:lang w:eastAsia="fr-BE"/>
        </w:rPr>
        <w:t>Les étapes proposées sont :</w:t>
      </w:r>
    </w:p>
    <w:p w14:paraId="468657E6" w14:textId="77777777" w:rsidR="00590091" w:rsidRPr="00860FEC" w:rsidRDefault="00590091" w:rsidP="00590091">
      <w:pPr>
        <w:pStyle w:val="Paragraphedeliste"/>
        <w:numPr>
          <w:ilvl w:val="0"/>
          <w:numId w:val="10"/>
        </w:numPr>
        <w:spacing w:after="0" w:line="240" w:lineRule="auto"/>
        <w:jc w:val="both"/>
        <w:rPr>
          <w:rFonts w:ascii="Calibri" w:eastAsia="Times New Roman" w:hAnsi="Calibri" w:cs="Calibri"/>
          <w:lang w:eastAsia="fr-BE"/>
        </w:rPr>
      </w:pPr>
      <w:r w:rsidRPr="00860FEC">
        <w:rPr>
          <w:rFonts w:cstheme="minorHAnsi"/>
          <w:lang w:eastAsia="ja-JP"/>
        </w:rPr>
        <w:t>Extraction à l’eau pressurisée (réalisée par le partenaire du projet, le CELABOR) et comparaison avec l’extraction hydroalcoolique</w:t>
      </w:r>
      <w:r>
        <w:rPr>
          <w:rStyle w:val="Appelnotedebasdep"/>
          <w:rFonts w:cstheme="minorHAnsi"/>
          <w:lang w:eastAsia="ja-JP"/>
        </w:rPr>
        <w:footnoteReference w:id="6"/>
      </w:r>
      <w:r w:rsidRPr="00860FEC">
        <w:rPr>
          <w:rFonts w:cstheme="minorHAnsi"/>
          <w:vertAlign w:val="superscript"/>
          <w:lang w:eastAsia="ja-JP"/>
        </w:rPr>
        <w:t xml:space="preserve">, </w:t>
      </w:r>
      <w:r>
        <w:rPr>
          <w:rStyle w:val="Appelnotedebasdep"/>
          <w:rFonts w:cstheme="minorHAnsi"/>
          <w:lang w:eastAsia="ja-JP"/>
        </w:rPr>
        <w:footnoteReference w:id="7"/>
      </w:r>
    </w:p>
    <w:p w14:paraId="2AE6FFCD" w14:textId="77777777" w:rsidR="00590091" w:rsidRPr="00DB0579" w:rsidRDefault="00590091" w:rsidP="00590091">
      <w:pPr>
        <w:pStyle w:val="Paragraphedeliste"/>
        <w:spacing w:after="0" w:line="240" w:lineRule="auto"/>
        <w:ind w:left="708"/>
        <w:jc w:val="both"/>
        <w:rPr>
          <w:rFonts w:ascii="Calibri" w:hAnsi="Calibri" w:cs="Calibri"/>
          <w:bCs/>
          <w:i/>
          <w:iCs/>
        </w:rPr>
      </w:pPr>
      <w:r w:rsidRPr="004F125F">
        <w:rPr>
          <w:rFonts w:ascii="Calibri" w:hAnsi="Calibri" w:cs="Calibri"/>
          <w:bCs/>
          <w:i/>
          <w:iCs/>
        </w:rPr>
        <w:t xml:space="preserve">Les méthodes proposées pour la mesure du pouvoir antioxydant sont le test DPPH qui évalue la capacité d’un antioxydant à réduire le radical chimique DPPH° (2,2-diphényl-1-picrylhydrazyl) par transfert d’un hydrogène, le test à l’acide thiobarbiturique (TBA) qui réagit avec les produits de l’oxydation et la mesure indirecte ou test ‘levure’ qui évalue les espèces réactives totales d’oxygène intracellulaires en utilisant le 2',7'-dichlorodihydrofluorescein diacétate (DCFH-DA). Des antioxydants commerciaux seront utilisés comme référence (acide ascorbique, bi- ou méta-sulfite, </w:t>
      </w:r>
      <w:proofErr w:type="spellStart"/>
      <w:r w:rsidRPr="004F125F">
        <w:rPr>
          <w:rFonts w:ascii="Calibri" w:hAnsi="Calibri" w:cs="Calibri"/>
          <w:bCs/>
          <w:i/>
          <w:iCs/>
        </w:rPr>
        <w:t>érythorbate</w:t>
      </w:r>
      <w:proofErr w:type="spellEnd"/>
      <w:r w:rsidRPr="004F125F">
        <w:rPr>
          <w:rFonts w:ascii="Calibri" w:hAnsi="Calibri" w:cs="Calibri"/>
          <w:bCs/>
          <w:i/>
          <w:iCs/>
        </w:rPr>
        <w:t xml:space="preserve"> de sodium, catéchine…).</w:t>
      </w:r>
    </w:p>
    <w:p w14:paraId="7AF02EDD" w14:textId="77777777" w:rsidR="00590091" w:rsidRPr="00C84CA1" w:rsidRDefault="00590091" w:rsidP="00590091">
      <w:pPr>
        <w:pStyle w:val="Paragraphedeliste"/>
        <w:numPr>
          <w:ilvl w:val="0"/>
          <w:numId w:val="10"/>
        </w:numPr>
        <w:spacing w:after="0" w:line="240" w:lineRule="auto"/>
        <w:jc w:val="both"/>
        <w:rPr>
          <w:rFonts w:cstheme="minorHAnsi"/>
          <w:lang w:eastAsia="ja-JP"/>
        </w:rPr>
      </w:pPr>
      <w:r w:rsidRPr="00883E0E">
        <w:rPr>
          <w:rFonts w:ascii="Calibri" w:hAnsi="Calibri"/>
        </w:rPr>
        <w:t>Filtration membranaire de l’extrait liquide</w:t>
      </w:r>
    </w:p>
    <w:p w14:paraId="6B42DADB" w14:textId="77777777" w:rsidR="00590091" w:rsidRPr="00C84CA1" w:rsidRDefault="00590091" w:rsidP="00590091">
      <w:pPr>
        <w:pStyle w:val="Paragraphedeliste"/>
        <w:numPr>
          <w:ilvl w:val="0"/>
          <w:numId w:val="10"/>
        </w:numPr>
        <w:spacing w:after="0" w:line="240" w:lineRule="auto"/>
        <w:jc w:val="both"/>
        <w:rPr>
          <w:rFonts w:ascii="Calibri" w:hAnsi="Calibri"/>
        </w:rPr>
      </w:pPr>
      <w:r w:rsidRPr="00C84CA1">
        <w:rPr>
          <w:rFonts w:ascii="Calibri" w:hAnsi="Calibri"/>
        </w:rPr>
        <w:lastRenderedPageBreak/>
        <w:t xml:space="preserve">Atomisation du filtrat </w:t>
      </w:r>
    </w:p>
    <w:p w14:paraId="7ED2E616" w14:textId="77777777" w:rsidR="00590091" w:rsidRDefault="00590091" w:rsidP="00590091">
      <w:pPr>
        <w:pStyle w:val="Paragraphedeliste"/>
        <w:numPr>
          <w:ilvl w:val="0"/>
          <w:numId w:val="10"/>
        </w:numPr>
        <w:spacing w:after="0" w:line="240" w:lineRule="auto"/>
        <w:jc w:val="both"/>
        <w:rPr>
          <w:rFonts w:cstheme="minorHAnsi"/>
          <w:lang w:eastAsia="ja-JP"/>
        </w:rPr>
      </w:pPr>
      <w:r w:rsidRPr="00564B54">
        <w:rPr>
          <w:rFonts w:cstheme="minorHAnsi"/>
          <w:lang w:eastAsia="ja-JP"/>
        </w:rPr>
        <w:t>Validation du potentiel antioxydant des extraits dans un processus industriel</w:t>
      </w:r>
    </w:p>
    <w:p w14:paraId="7BD1D4CC" w14:textId="77777777" w:rsidR="00590091" w:rsidRPr="008C682F" w:rsidRDefault="00590091" w:rsidP="00590091">
      <w:pPr>
        <w:pStyle w:val="Paragraphedeliste"/>
        <w:spacing w:after="0" w:line="240" w:lineRule="auto"/>
        <w:ind w:left="708"/>
        <w:jc w:val="both"/>
        <w:rPr>
          <w:rFonts w:cstheme="minorHAnsi"/>
          <w:lang w:eastAsia="ja-JP"/>
        </w:rPr>
      </w:pPr>
      <w:r w:rsidRPr="008C682F">
        <w:rPr>
          <w:rFonts w:ascii="Calibri" w:hAnsi="Calibri" w:cs="Calibri"/>
          <w:bCs/>
        </w:rPr>
        <w:t>Tests proposés</w:t>
      </w:r>
      <w:r>
        <w:rPr>
          <w:rFonts w:ascii="Calibri" w:hAnsi="Calibri" w:cs="Calibri"/>
          <w:bCs/>
        </w:rPr>
        <w:t> :</w:t>
      </w:r>
    </w:p>
    <w:p w14:paraId="3BDD8B39" w14:textId="77777777" w:rsidR="00590091" w:rsidRPr="008C682F" w:rsidRDefault="00590091" w:rsidP="00590091">
      <w:pPr>
        <w:widowControl w:val="0"/>
        <w:suppressAutoHyphens/>
        <w:spacing w:after="0" w:line="240" w:lineRule="auto"/>
        <w:ind w:left="708"/>
        <w:contextualSpacing/>
        <w:jc w:val="both"/>
        <w:rPr>
          <w:rFonts w:ascii="Calibri" w:hAnsi="Calibri" w:cs="Calibri"/>
          <w:bCs/>
          <w:i/>
          <w:iCs/>
        </w:rPr>
      </w:pPr>
      <w:r w:rsidRPr="008C682F">
        <w:rPr>
          <w:rFonts w:ascii="Calibri" w:hAnsi="Calibri" w:cs="Calibri"/>
          <w:i/>
          <w:iCs/>
        </w:rPr>
        <w:t xml:space="preserve">Test d'inhibition de la lipoxygénase : Les </w:t>
      </w:r>
      <w:proofErr w:type="spellStart"/>
      <w:r w:rsidRPr="008C682F">
        <w:rPr>
          <w:rFonts w:ascii="Calibri" w:hAnsi="Calibri" w:cs="Calibri"/>
          <w:i/>
          <w:iCs/>
        </w:rPr>
        <w:t>hydroperoxydes</w:t>
      </w:r>
      <w:proofErr w:type="spellEnd"/>
      <w:r w:rsidRPr="008C682F">
        <w:rPr>
          <w:rFonts w:ascii="Calibri" w:hAnsi="Calibri" w:cs="Calibri"/>
          <w:i/>
          <w:iCs/>
        </w:rPr>
        <w:t xml:space="preserve"> libérés par l’action de la lipoxygénase sur l’acide linoléique sont quantifiés par spectrométrie à 234nm. Le test permet de déterminer la constante d’inhibition apparente (Ki) et le pourcentage d’inhibition de l’antioxydant. </w:t>
      </w:r>
    </w:p>
    <w:p w14:paraId="3D32DFF3" w14:textId="77777777" w:rsidR="00590091" w:rsidRDefault="00590091" w:rsidP="00590091">
      <w:pPr>
        <w:widowControl w:val="0"/>
        <w:suppressAutoHyphens/>
        <w:spacing w:after="0" w:line="240" w:lineRule="auto"/>
        <w:ind w:left="708"/>
        <w:contextualSpacing/>
        <w:jc w:val="both"/>
        <w:rPr>
          <w:rFonts w:ascii="Calibri" w:hAnsi="Calibri" w:cs="Calibri"/>
          <w:bCs/>
          <w:i/>
          <w:iCs/>
        </w:rPr>
      </w:pPr>
      <w:r w:rsidRPr="008C682F">
        <w:rPr>
          <w:rFonts w:ascii="Calibri" w:hAnsi="Calibri" w:cs="Calibri"/>
          <w:i/>
          <w:iCs/>
        </w:rPr>
        <w:t xml:space="preserve">Test d’inhibition de la </w:t>
      </w:r>
      <w:proofErr w:type="spellStart"/>
      <w:r w:rsidRPr="008C682F">
        <w:rPr>
          <w:rFonts w:ascii="Calibri" w:hAnsi="Calibri" w:cs="Calibri"/>
          <w:i/>
          <w:iCs/>
        </w:rPr>
        <w:t>co</w:t>
      </w:r>
      <w:proofErr w:type="spellEnd"/>
      <w:r w:rsidRPr="008C682F">
        <w:rPr>
          <w:rFonts w:ascii="Calibri" w:hAnsi="Calibri" w:cs="Calibri"/>
          <w:i/>
          <w:iCs/>
        </w:rPr>
        <w:t xml:space="preserve">-oxydation de la </w:t>
      </w:r>
      <w:r w:rsidRPr="008C682F">
        <w:rPr>
          <w:rFonts w:ascii="Symbol" w:hAnsi="Symbol" w:cs="Calibri"/>
          <w:i/>
          <w:iCs/>
        </w:rPr>
        <w:t>b</w:t>
      </w:r>
      <w:r w:rsidRPr="008C682F">
        <w:rPr>
          <w:rFonts w:ascii="Calibri" w:hAnsi="Calibri" w:cs="Calibri"/>
          <w:i/>
          <w:iCs/>
        </w:rPr>
        <w:t xml:space="preserve">-carotène : Les radicaux libres, issus de l’acide linoléique chauffé à 50°C, oxydent la </w:t>
      </w:r>
      <w:r w:rsidRPr="008C682F">
        <w:rPr>
          <w:rFonts w:ascii="Symbol" w:hAnsi="Symbol" w:cs="Calibri"/>
          <w:i/>
          <w:iCs/>
        </w:rPr>
        <w:t>b</w:t>
      </w:r>
      <w:r w:rsidRPr="008C682F">
        <w:rPr>
          <w:rFonts w:ascii="Calibri" w:hAnsi="Calibri" w:cs="Calibri"/>
          <w:i/>
          <w:iCs/>
        </w:rPr>
        <w:t xml:space="preserve">-carotène quantifiée par absorbance à 470nm. </w:t>
      </w:r>
    </w:p>
    <w:p w14:paraId="63C649BD" w14:textId="77777777" w:rsidR="00590091" w:rsidRDefault="00590091" w:rsidP="00590091">
      <w:pPr>
        <w:widowControl w:val="0"/>
        <w:suppressAutoHyphens/>
        <w:spacing w:after="0" w:line="240" w:lineRule="auto"/>
        <w:contextualSpacing/>
        <w:jc w:val="both"/>
        <w:rPr>
          <w:rFonts w:ascii="Calibri" w:hAnsi="Calibri" w:cs="Calibri"/>
          <w:bCs/>
          <w:i/>
          <w:iCs/>
        </w:rPr>
      </w:pPr>
    </w:p>
    <w:p w14:paraId="4907B70B" w14:textId="77777777" w:rsidR="00590091" w:rsidRPr="000F2621" w:rsidRDefault="00590091" w:rsidP="00590091">
      <w:pPr>
        <w:widowControl w:val="0"/>
        <w:suppressAutoHyphens/>
        <w:spacing w:after="0" w:line="240" w:lineRule="auto"/>
        <w:contextualSpacing/>
        <w:jc w:val="both"/>
        <w:rPr>
          <w:rFonts w:ascii="Calibri" w:hAnsi="Calibri" w:cs="Calibri"/>
          <w:bCs/>
          <w:i/>
          <w:iCs/>
        </w:rPr>
      </w:pPr>
      <w:r>
        <w:rPr>
          <w:rFonts w:ascii="Calibri" w:hAnsi="Calibri" w:cs="Calibri"/>
          <w:bCs/>
        </w:rPr>
        <w:t>L’efficacité des antioxydants naturels de levure seront comparés à des antioxydants chimiques commerciaux (</w:t>
      </w:r>
      <w:r w:rsidRPr="00EA3ECF">
        <w:rPr>
          <w:rFonts w:ascii="Calibri" w:hAnsi="Calibri" w:cs="Calibri"/>
          <w:bCs/>
        </w:rPr>
        <w:t xml:space="preserve">acide ascorbique, bi- ou méta-sulfite, </w:t>
      </w:r>
      <w:proofErr w:type="spellStart"/>
      <w:r w:rsidRPr="00EA3ECF">
        <w:rPr>
          <w:rFonts w:ascii="Calibri" w:hAnsi="Calibri" w:cs="Calibri"/>
          <w:bCs/>
        </w:rPr>
        <w:t>érythorbate</w:t>
      </w:r>
      <w:proofErr w:type="spellEnd"/>
      <w:r w:rsidRPr="00EA3ECF">
        <w:rPr>
          <w:rFonts w:ascii="Calibri" w:hAnsi="Calibri" w:cs="Calibri"/>
          <w:bCs/>
        </w:rPr>
        <w:t xml:space="preserve"> de sodium, catéchine</w:t>
      </w:r>
      <w:r>
        <w:rPr>
          <w:rFonts w:ascii="Calibri" w:hAnsi="Calibri" w:cs="Calibri"/>
          <w:bCs/>
        </w:rPr>
        <w:t xml:space="preserve">, </w:t>
      </w:r>
      <w:proofErr w:type="spellStart"/>
      <w:r>
        <w:rPr>
          <w:rFonts w:ascii="Calibri" w:hAnsi="Calibri" w:cs="Calibri"/>
          <w:bCs/>
        </w:rPr>
        <w:t>Brewtan</w:t>
      </w:r>
      <w:proofErr w:type="spellEnd"/>
      <w:r>
        <w:rPr>
          <w:rFonts w:ascii="Calibri" w:hAnsi="Calibri" w:cs="Calibri"/>
          <w:bCs/>
        </w:rPr>
        <w:t>®</w:t>
      </w:r>
      <w:r w:rsidRPr="00EA3ECF">
        <w:rPr>
          <w:rFonts w:ascii="Calibri" w:hAnsi="Calibri" w:cs="Calibri"/>
          <w:bCs/>
        </w:rPr>
        <w:t>…).</w:t>
      </w:r>
    </w:p>
    <w:p w14:paraId="4806039A" w14:textId="77777777" w:rsidR="00590091" w:rsidRDefault="00590091" w:rsidP="00590091">
      <w:pPr>
        <w:spacing w:after="0" w:line="240" w:lineRule="auto"/>
        <w:jc w:val="both"/>
        <w:rPr>
          <w:rFonts w:cstheme="minorHAnsi"/>
        </w:rPr>
      </w:pPr>
    </w:p>
    <w:p w14:paraId="29C50649" w14:textId="77777777" w:rsidR="00590091" w:rsidRPr="00D31D97" w:rsidRDefault="00590091" w:rsidP="00590091">
      <w:pPr>
        <w:spacing w:after="0" w:line="240" w:lineRule="auto"/>
        <w:jc w:val="both"/>
        <w:rPr>
          <w:rFonts w:cstheme="minorHAnsi"/>
        </w:rPr>
      </w:pPr>
    </w:p>
    <w:p w14:paraId="068EE21C" w14:textId="77777777" w:rsidR="00590091" w:rsidRPr="00590091"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r w:rsidRPr="00590091">
        <w:rPr>
          <w:rFonts w:asciiTheme="majorHAnsi" w:eastAsia="Garamond" w:hAnsiTheme="majorHAnsi" w:cstheme="majorHAnsi"/>
          <w:b/>
          <w:bCs/>
          <w:sz w:val="24"/>
          <w:szCs w:val="24"/>
          <w:lang w:val="fr"/>
        </w:rPr>
        <w:t>Influence de la levure sur l’expression aromatique des bières houblonnées</w:t>
      </w:r>
    </w:p>
    <w:p w14:paraId="3284F981" w14:textId="77777777" w:rsidR="00590091" w:rsidRPr="00590091" w:rsidRDefault="00590091" w:rsidP="00590091">
      <w:pPr>
        <w:spacing w:after="0" w:line="240" w:lineRule="auto"/>
        <w:jc w:val="both"/>
        <w:rPr>
          <w:rFonts w:eastAsia="Garamond" w:cstheme="minorHAnsi"/>
          <w:lang w:val="fr"/>
        </w:rPr>
      </w:pPr>
    </w:p>
    <w:p w14:paraId="32649F95" w14:textId="77777777" w:rsidR="00590091" w:rsidRPr="00590091" w:rsidRDefault="00590091" w:rsidP="00590091">
      <w:pPr>
        <w:spacing w:after="0" w:line="240" w:lineRule="auto"/>
        <w:jc w:val="both"/>
        <w:rPr>
          <w:rFonts w:cstheme="minorHAnsi"/>
        </w:rPr>
      </w:pPr>
      <w:r w:rsidRPr="00590091">
        <w:rPr>
          <w:rFonts w:eastAsia="Garamond" w:cstheme="minorHAnsi"/>
          <w:lang w:val="fr"/>
        </w:rPr>
        <w:t xml:space="preserve">Durant l’étape </w:t>
      </w:r>
      <w:proofErr w:type="gramStart"/>
      <w:r w:rsidRPr="00590091">
        <w:rPr>
          <w:rFonts w:eastAsia="Garamond" w:cstheme="minorHAnsi"/>
          <w:lang w:val="fr"/>
        </w:rPr>
        <w:t>de houblonnage</w:t>
      </w:r>
      <w:proofErr w:type="gramEnd"/>
      <w:r w:rsidRPr="00590091">
        <w:rPr>
          <w:rFonts w:eastAsia="Garamond" w:cstheme="minorHAnsi"/>
          <w:lang w:val="fr"/>
        </w:rPr>
        <w:t xml:space="preserve"> </w:t>
      </w:r>
      <w:proofErr w:type="spellStart"/>
      <w:r w:rsidRPr="00590091">
        <w:rPr>
          <w:rFonts w:eastAsia="Garamond" w:cstheme="minorHAnsi"/>
          <w:lang w:val="fr"/>
        </w:rPr>
        <w:t>à</w:t>
      </w:r>
      <w:proofErr w:type="spellEnd"/>
      <w:r w:rsidRPr="00590091">
        <w:rPr>
          <w:rFonts w:eastAsia="Garamond" w:cstheme="minorHAnsi"/>
          <w:lang w:val="fr"/>
        </w:rPr>
        <w:t xml:space="preserve"> cru, certains composés aromatiques du houblon comme le </w:t>
      </w:r>
      <w:proofErr w:type="spellStart"/>
      <w:r w:rsidRPr="00590091">
        <w:rPr>
          <w:rFonts w:eastAsia="Garamond" w:cstheme="minorHAnsi"/>
          <w:lang w:val="fr"/>
        </w:rPr>
        <w:t>linalool</w:t>
      </w:r>
      <w:proofErr w:type="spellEnd"/>
      <w:r w:rsidRPr="00590091">
        <w:rPr>
          <w:rFonts w:eastAsia="Garamond" w:cstheme="minorHAnsi"/>
          <w:lang w:val="fr"/>
        </w:rPr>
        <w:t xml:space="preserve">, le </w:t>
      </w:r>
      <w:proofErr w:type="spellStart"/>
      <w:r w:rsidRPr="00590091">
        <w:rPr>
          <w:rFonts w:eastAsia="Garamond" w:cstheme="minorHAnsi"/>
          <w:lang w:val="fr"/>
        </w:rPr>
        <w:t>myrcène</w:t>
      </w:r>
      <w:proofErr w:type="spellEnd"/>
      <w:r w:rsidRPr="00590091">
        <w:rPr>
          <w:rFonts w:eastAsia="Garamond" w:cstheme="minorHAnsi"/>
          <w:lang w:val="fr"/>
        </w:rPr>
        <w:t xml:space="preserve"> et l’acide 3-méthylbutanoïque se solubilisent dans la bière ; alors que d’autres molécules (4-vinylsyringol, citronellol, </w:t>
      </w:r>
      <w:r w:rsidRPr="00590091">
        <w:rPr>
          <w:rFonts w:eastAsia="Symbol" w:cstheme="minorHAnsi"/>
          <w:lang w:val="fr"/>
        </w:rPr>
        <w:t>b</w:t>
      </w:r>
      <w:r w:rsidRPr="00590091">
        <w:rPr>
          <w:rFonts w:eastAsia="Garamond" w:cstheme="minorHAnsi"/>
          <w:lang w:val="fr"/>
        </w:rPr>
        <w:t>-</w:t>
      </w:r>
      <w:proofErr w:type="spellStart"/>
      <w:r w:rsidRPr="00590091">
        <w:rPr>
          <w:rFonts w:eastAsia="Garamond" w:cstheme="minorHAnsi"/>
          <w:lang w:val="fr"/>
        </w:rPr>
        <w:t>damascénone</w:t>
      </w:r>
      <w:proofErr w:type="spellEnd"/>
      <w:r w:rsidRPr="00590091">
        <w:rPr>
          <w:rFonts w:eastAsia="Garamond" w:cstheme="minorHAnsi"/>
          <w:lang w:val="fr"/>
        </w:rPr>
        <w:t xml:space="preserve">, thiols polyfonctionnels …) sont libérées par l’interaction des levures avec les glycosides du houblon. Les activités enzymatiques associées à ces biotransformations sont les β-glucosidases et β-lyases. L'activité de la β-glucosidase entraîne la libération d'un terpène aromatique (et d'une molécule de glucose) à partir d'un </w:t>
      </w:r>
      <w:proofErr w:type="spellStart"/>
      <w:r w:rsidRPr="00590091">
        <w:rPr>
          <w:rFonts w:eastAsia="Garamond" w:cstheme="minorHAnsi"/>
          <w:lang w:val="fr"/>
        </w:rPr>
        <w:t>terpényl</w:t>
      </w:r>
      <w:proofErr w:type="spellEnd"/>
      <w:r w:rsidRPr="00590091">
        <w:rPr>
          <w:rFonts w:eastAsia="Garamond" w:cstheme="minorHAnsi"/>
          <w:lang w:val="fr"/>
        </w:rPr>
        <w:t xml:space="preserve"> glycoside non aromatique. Les terpènes peuvent avoir divers impacts aromatiques (agrumes, floraux) ; ils participent à l’intensité globale de l'arôme du houblon. L'activité de la β-lyase entraîne la libération de composés soufrés volatils appelés thiols, qui sont généralement associés à des arômes de fruits tropicaux, possédant des seuils de détection très bas. Le métabolisme des levures est complexe car les terpènes et thiols aromatiques libérés peuvent être ensuite transformés par la levure en d'autres composés avec des caractéristiques aromatiques différentes, augmentant la complexité de la bière finie. </w:t>
      </w:r>
    </w:p>
    <w:p w14:paraId="594AE92D" w14:textId="77777777" w:rsidR="00590091" w:rsidRPr="00590091" w:rsidRDefault="00590091" w:rsidP="00590091">
      <w:pPr>
        <w:spacing w:after="0" w:line="240" w:lineRule="auto"/>
        <w:jc w:val="both"/>
        <w:rPr>
          <w:rFonts w:eastAsia="Garamond" w:cstheme="minorHAnsi"/>
          <w:lang w:val="fr"/>
        </w:rPr>
      </w:pPr>
      <w:r w:rsidRPr="00590091">
        <w:rPr>
          <w:rFonts w:eastAsia="Garamond" w:cstheme="minorHAnsi"/>
          <w:lang w:val="fr"/>
        </w:rPr>
        <w:t xml:space="preserve">L’objet de ce projet est d’évaluer l’impact de la levure, de son profil génétique, sur le développement aromatique des bières houblonnées. Il associe l’étude métabolique et la génétique de la levure à la caractérisation des COV, libérés par leur activité enzymatique. Différents genres de levure sont étudiés comme </w:t>
      </w:r>
      <w:r w:rsidRPr="00590091">
        <w:rPr>
          <w:rFonts w:eastAsia="Garamond" w:cstheme="minorHAnsi"/>
          <w:i/>
          <w:iCs/>
          <w:lang w:val="fr"/>
        </w:rPr>
        <w:t>Saccharomyces</w:t>
      </w:r>
      <w:r w:rsidRPr="00590091">
        <w:rPr>
          <w:rFonts w:eastAsia="Garamond" w:cstheme="minorHAnsi"/>
          <w:lang w:val="fr"/>
        </w:rPr>
        <w:t xml:space="preserve">, </w:t>
      </w:r>
      <w:proofErr w:type="spellStart"/>
      <w:r w:rsidRPr="00590091">
        <w:rPr>
          <w:rFonts w:eastAsia="Garamond" w:cstheme="minorHAnsi"/>
          <w:i/>
          <w:iCs/>
          <w:lang w:val="fr"/>
        </w:rPr>
        <w:t>Pichia</w:t>
      </w:r>
      <w:proofErr w:type="spellEnd"/>
      <w:r w:rsidRPr="00590091">
        <w:rPr>
          <w:rFonts w:eastAsia="Garamond" w:cstheme="minorHAnsi"/>
          <w:lang w:val="fr"/>
        </w:rPr>
        <w:t xml:space="preserve"> ou </w:t>
      </w:r>
      <w:proofErr w:type="spellStart"/>
      <w:r w:rsidRPr="00590091">
        <w:rPr>
          <w:rFonts w:eastAsia="Garamond" w:cstheme="minorHAnsi"/>
          <w:i/>
          <w:iCs/>
          <w:lang w:val="fr"/>
        </w:rPr>
        <w:t>Torulospora</w:t>
      </w:r>
      <w:proofErr w:type="spellEnd"/>
      <w:r w:rsidRPr="00590091">
        <w:rPr>
          <w:rFonts w:eastAsia="Garamond" w:cstheme="minorHAnsi"/>
          <w:lang w:val="fr"/>
        </w:rPr>
        <w:t>.</w:t>
      </w:r>
      <w:r w:rsidRPr="00590091">
        <w:rPr>
          <w:rStyle w:val="Appelnotedebasdep"/>
          <w:rFonts w:eastAsia="Garamond" w:cstheme="minorHAnsi"/>
          <w:lang w:val="en-GB"/>
        </w:rPr>
        <w:footnoteReference w:id="8"/>
      </w:r>
      <w:r w:rsidRPr="00590091">
        <w:rPr>
          <w:rFonts w:eastAsia="Garamond" w:cstheme="minorHAnsi"/>
          <w:vertAlign w:val="superscript"/>
          <w:lang w:val="fr"/>
        </w:rPr>
        <w:t>,</w:t>
      </w:r>
      <w:r w:rsidRPr="00590091">
        <w:rPr>
          <w:rStyle w:val="Appelnotedebasdep"/>
          <w:rFonts w:eastAsia="Garamond" w:cstheme="minorHAnsi"/>
          <w:lang w:val="fr"/>
        </w:rPr>
        <w:footnoteReference w:id="9"/>
      </w:r>
    </w:p>
    <w:p w14:paraId="29E03938" w14:textId="77777777" w:rsidR="00590091" w:rsidRPr="00590091" w:rsidRDefault="00590091" w:rsidP="00590091">
      <w:pPr>
        <w:spacing w:after="0" w:line="240" w:lineRule="auto"/>
        <w:jc w:val="both"/>
        <w:rPr>
          <w:rFonts w:eastAsia="Garamond" w:cstheme="minorHAnsi"/>
        </w:rPr>
      </w:pPr>
    </w:p>
    <w:p w14:paraId="19FFD2F7" w14:textId="77777777" w:rsidR="00590091" w:rsidRPr="00590091"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proofErr w:type="spellStart"/>
      <w:r w:rsidRPr="00590091">
        <w:rPr>
          <w:rFonts w:asciiTheme="majorHAnsi" w:hAnsiTheme="majorHAnsi" w:cstheme="majorHAnsi"/>
          <w:b/>
          <w:bCs/>
          <w:sz w:val="24"/>
          <w:szCs w:val="24"/>
        </w:rPr>
        <w:t>BeePNut</w:t>
      </w:r>
      <w:proofErr w:type="spellEnd"/>
    </w:p>
    <w:p w14:paraId="064D1B5C" w14:textId="77777777" w:rsidR="00590091" w:rsidRDefault="00590091" w:rsidP="00590091">
      <w:pPr>
        <w:pStyle w:val="paragraph"/>
        <w:tabs>
          <w:tab w:val="right" w:pos="9014"/>
        </w:tabs>
        <w:spacing w:before="0" w:beforeAutospacing="0" w:after="0" w:afterAutospacing="0"/>
        <w:jc w:val="both"/>
        <w:textAlignment w:val="baseline"/>
        <w:rPr>
          <w:rStyle w:val="normaltextrun"/>
          <w:rFonts w:asciiTheme="minorHAnsi" w:eastAsiaTheme="majorEastAsia" w:hAnsiTheme="minorHAnsi" w:cstheme="minorHAnsi"/>
          <w:color w:val="000000"/>
          <w:sz w:val="22"/>
          <w:szCs w:val="22"/>
          <w:lang w:val="fr-BE"/>
        </w:rPr>
      </w:pPr>
    </w:p>
    <w:p w14:paraId="571F52CA" w14:textId="77777777" w:rsidR="00590091" w:rsidRPr="002753E9" w:rsidRDefault="00590091" w:rsidP="00590091">
      <w:pPr>
        <w:pStyle w:val="paragraph"/>
        <w:tabs>
          <w:tab w:val="right" w:pos="9014"/>
        </w:tabs>
        <w:spacing w:before="0" w:beforeAutospacing="0" w:after="0" w:afterAutospacing="0"/>
        <w:jc w:val="both"/>
        <w:textAlignment w:val="baseline"/>
        <w:rPr>
          <w:rStyle w:val="normaltextrun"/>
          <w:rFonts w:asciiTheme="minorHAnsi" w:eastAsiaTheme="majorEastAsia" w:hAnsiTheme="minorHAnsi" w:cstheme="minorHAnsi"/>
          <w:sz w:val="22"/>
          <w:szCs w:val="22"/>
          <w:lang w:val="fr-BE"/>
        </w:rPr>
      </w:pPr>
      <w:r>
        <w:rPr>
          <w:rStyle w:val="normaltextrun"/>
          <w:rFonts w:asciiTheme="minorHAnsi" w:eastAsiaTheme="majorEastAsia" w:hAnsiTheme="minorHAnsi" w:cstheme="minorHAnsi"/>
          <w:color w:val="000000"/>
          <w:sz w:val="22"/>
          <w:szCs w:val="22"/>
          <w:lang w:val="fr-BE"/>
        </w:rPr>
        <w:t xml:space="preserve">Le projet </w:t>
      </w:r>
      <w:proofErr w:type="spellStart"/>
      <w:r>
        <w:rPr>
          <w:rStyle w:val="normaltextrun"/>
          <w:rFonts w:asciiTheme="minorHAnsi" w:eastAsiaTheme="majorEastAsia" w:hAnsiTheme="minorHAnsi" w:cstheme="minorHAnsi"/>
          <w:color w:val="000000"/>
          <w:sz w:val="22"/>
          <w:szCs w:val="22"/>
          <w:lang w:val="fr-BE"/>
        </w:rPr>
        <w:t>BeePnut</w:t>
      </w:r>
      <w:proofErr w:type="spellEnd"/>
      <w:r>
        <w:rPr>
          <w:rStyle w:val="normaltextrun"/>
          <w:rFonts w:asciiTheme="minorHAnsi" w:eastAsiaTheme="majorEastAsia" w:hAnsiTheme="minorHAnsi" w:cstheme="minorHAnsi"/>
          <w:color w:val="000000"/>
          <w:sz w:val="22"/>
          <w:szCs w:val="22"/>
          <w:lang w:val="fr-BE"/>
        </w:rPr>
        <w:t xml:space="preserve"> vise à</w:t>
      </w:r>
      <w:r w:rsidRPr="00866568">
        <w:rPr>
          <w:rStyle w:val="normaltextrun"/>
          <w:rFonts w:asciiTheme="minorHAnsi" w:eastAsiaTheme="majorEastAsia" w:hAnsiTheme="minorHAnsi" w:cstheme="minorHAnsi"/>
          <w:color w:val="000000"/>
          <w:sz w:val="22"/>
          <w:szCs w:val="22"/>
          <w:lang w:val="fr-BE"/>
        </w:rPr>
        <w:t xml:space="preserve"> collecter un ensemble de données sur les aspects nutritionnels potentiels des pollens entomophiles belges. </w:t>
      </w:r>
      <w:r w:rsidRPr="002753E9">
        <w:rPr>
          <w:rStyle w:val="normaltextrun"/>
          <w:rFonts w:asciiTheme="minorHAnsi" w:eastAsiaTheme="majorEastAsia" w:hAnsiTheme="minorHAnsi" w:cstheme="minorHAnsi"/>
          <w:sz w:val="22"/>
          <w:szCs w:val="22"/>
          <w:lang w:val="fr-BE"/>
        </w:rPr>
        <w:t>En effet, pour appuyer l’hypothèse de l’intérêt de l’utilisation des pollens dans l’alimentation humaine, il est important de commencer par identifier et contrôler les éléments constitutifs de</w:t>
      </w:r>
      <w:r>
        <w:rPr>
          <w:rStyle w:val="normaltextrun"/>
          <w:rFonts w:asciiTheme="minorHAnsi" w:eastAsiaTheme="majorEastAsia" w:hAnsiTheme="minorHAnsi" w:cstheme="minorHAnsi"/>
          <w:sz w:val="22"/>
          <w:szCs w:val="22"/>
          <w:lang w:val="fr-BE"/>
        </w:rPr>
        <w:t>s</w:t>
      </w:r>
      <w:r w:rsidRPr="002753E9">
        <w:rPr>
          <w:rStyle w:val="normaltextrun"/>
          <w:rFonts w:asciiTheme="minorHAnsi" w:eastAsiaTheme="majorEastAsia" w:hAnsiTheme="minorHAnsi" w:cstheme="minorHAnsi"/>
          <w:sz w:val="22"/>
          <w:szCs w:val="22"/>
          <w:lang w:val="fr-BE"/>
        </w:rPr>
        <w:t xml:space="preserve"> pollens. Pour ce faire nous avons mis en évidence les 5 axes d’analyses et de recherche :</w:t>
      </w:r>
    </w:p>
    <w:p w14:paraId="67B7FC54" w14:textId="77777777" w:rsidR="00590091" w:rsidRPr="002753E9" w:rsidRDefault="00590091" w:rsidP="00590091">
      <w:pPr>
        <w:pStyle w:val="paragraph"/>
        <w:numPr>
          <w:ilvl w:val="0"/>
          <w:numId w:val="12"/>
        </w:numPr>
        <w:tabs>
          <w:tab w:val="right" w:pos="9014"/>
        </w:tabs>
        <w:spacing w:before="0" w:beforeAutospacing="0" w:after="0" w:afterAutospacing="0"/>
        <w:jc w:val="both"/>
        <w:textAlignment w:val="baseline"/>
        <w:rPr>
          <w:rStyle w:val="normaltextrun"/>
          <w:rFonts w:asciiTheme="minorHAnsi" w:eastAsiaTheme="majorEastAsia" w:hAnsiTheme="minorHAnsi" w:cstheme="minorHAnsi"/>
          <w:sz w:val="22"/>
          <w:szCs w:val="22"/>
          <w:lang w:val="fr-BE"/>
        </w:rPr>
      </w:pPr>
      <w:r w:rsidRPr="002753E9">
        <w:rPr>
          <w:rStyle w:val="normaltextrun"/>
          <w:rFonts w:asciiTheme="minorHAnsi" w:eastAsiaTheme="majorEastAsia" w:hAnsiTheme="minorHAnsi" w:cstheme="minorHAnsi"/>
          <w:sz w:val="22"/>
          <w:szCs w:val="22"/>
          <w:lang w:val="fr-BE"/>
        </w:rPr>
        <w:t>Identifier et quantifier les molécules présentant un intérêt nutritionnel évident,</w:t>
      </w:r>
    </w:p>
    <w:p w14:paraId="18580067" w14:textId="77777777" w:rsidR="00590091" w:rsidRPr="002753E9" w:rsidRDefault="00590091" w:rsidP="00590091">
      <w:pPr>
        <w:pStyle w:val="paragraph"/>
        <w:numPr>
          <w:ilvl w:val="0"/>
          <w:numId w:val="12"/>
        </w:numPr>
        <w:tabs>
          <w:tab w:val="right" w:pos="9014"/>
        </w:tabs>
        <w:spacing w:before="0" w:beforeAutospacing="0" w:after="0" w:afterAutospacing="0"/>
        <w:jc w:val="both"/>
        <w:textAlignment w:val="baseline"/>
        <w:rPr>
          <w:rStyle w:val="normaltextrun"/>
          <w:rFonts w:asciiTheme="minorHAnsi" w:eastAsiaTheme="majorEastAsia" w:hAnsiTheme="minorHAnsi" w:cstheme="minorHAnsi"/>
          <w:sz w:val="22"/>
          <w:szCs w:val="22"/>
          <w:lang w:val="fr-BE"/>
        </w:rPr>
      </w:pPr>
      <w:r w:rsidRPr="002753E9">
        <w:rPr>
          <w:rStyle w:val="normaltextrun"/>
          <w:rFonts w:asciiTheme="minorHAnsi" w:eastAsiaTheme="majorEastAsia" w:hAnsiTheme="minorHAnsi" w:cstheme="minorHAnsi"/>
          <w:sz w:val="22"/>
          <w:szCs w:val="22"/>
          <w:lang w:val="fr-BE"/>
        </w:rPr>
        <w:t>Identifier et quantifier celles pouvant être néfastes à la santé humaine,</w:t>
      </w:r>
    </w:p>
    <w:p w14:paraId="031439C0" w14:textId="77777777" w:rsidR="00590091" w:rsidRPr="002753E9" w:rsidRDefault="00590091" w:rsidP="00590091">
      <w:pPr>
        <w:pStyle w:val="paragraph"/>
        <w:numPr>
          <w:ilvl w:val="0"/>
          <w:numId w:val="12"/>
        </w:numPr>
        <w:tabs>
          <w:tab w:val="right" w:pos="9014"/>
        </w:tabs>
        <w:spacing w:before="0" w:beforeAutospacing="0" w:after="0" w:afterAutospacing="0"/>
        <w:jc w:val="both"/>
        <w:textAlignment w:val="baseline"/>
        <w:rPr>
          <w:rStyle w:val="normaltextrun"/>
          <w:rFonts w:asciiTheme="minorHAnsi" w:eastAsiaTheme="majorEastAsia" w:hAnsiTheme="minorHAnsi" w:cstheme="minorHAnsi"/>
          <w:sz w:val="22"/>
          <w:szCs w:val="22"/>
          <w:lang w:val="fr-BE"/>
        </w:rPr>
      </w:pPr>
      <w:r w:rsidRPr="002753E9">
        <w:rPr>
          <w:rStyle w:val="normaltextrun"/>
          <w:rFonts w:asciiTheme="minorHAnsi" w:eastAsiaTheme="majorEastAsia" w:hAnsiTheme="minorHAnsi" w:cstheme="minorHAnsi"/>
          <w:sz w:val="22"/>
          <w:szCs w:val="22"/>
          <w:lang w:val="fr-BE"/>
        </w:rPr>
        <w:t>Vérifier leur variabilité en fonction des saisons,</w:t>
      </w:r>
    </w:p>
    <w:p w14:paraId="39F8356B" w14:textId="77777777" w:rsidR="00590091" w:rsidRPr="002753E9" w:rsidRDefault="00590091" w:rsidP="00590091">
      <w:pPr>
        <w:pStyle w:val="paragraph"/>
        <w:numPr>
          <w:ilvl w:val="0"/>
          <w:numId w:val="12"/>
        </w:numPr>
        <w:tabs>
          <w:tab w:val="right" w:pos="9014"/>
        </w:tabs>
        <w:spacing w:before="0" w:beforeAutospacing="0" w:after="0" w:afterAutospacing="0"/>
        <w:jc w:val="both"/>
        <w:textAlignment w:val="baseline"/>
        <w:rPr>
          <w:rStyle w:val="normaltextrun"/>
          <w:rFonts w:asciiTheme="minorHAnsi" w:eastAsiaTheme="majorEastAsia" w:hAnsiTheme="minorHAnsi" w:cstheme="minorHAnsi"/>
          <w:sz w:val="22"/>
          <w:szCs w:val="22"/>
          <w:lang w:val="fr-BE"/>
        </w:rPr>
      </w:pPr>
      <w:r w:rsidRPr="002753E9">
        <w:rPr>
          <w:rStyle w:val="normaltextrun"/>
          <w:rFonts w:asciiTheme="minorHAnsi" w:eastAsiaTheme="majorEastAsia" w:hAnsiTheme="minorHAnsi" w:cstheme="minorHAnsi"/>
          <w:sz w:val="22"/>
          <w:szCs w:val="22"/>
          <w:lang w:val="fr-BE"/>
        </w:rPr>
        <w:t>Déterminer l’impact de la zone de prélèvement (urbaine, péri-urbaine, rurale),</w:t>
      </w:r>
    </w:p>
    <w:p w14:paraId="02262C55" w14:textId="77777777" w:rsidR="00590091" w:rsidRPr="0058521A" w:rsidRDefault="00590091" w:rsidP="00590091">
      <w:pPr>
        <w:pStyle w:val="paragraph"/>
        <w:numPr>
          <w:ilvl w:val="0"/>
          <w:numId w:val="12"/>
        </w:numPr>
        <w:tabs>
          <w:tab w:val="right" w:pos="9014"/>
        </w:tabs>
        <w:spacing w:before="0" w:beforeAutospacing="0" w:after="0" w:afterAutospacing="0"/>
        <w:jc w:val="both"/>
        <w:textAlignment w:val="baseline"/>
        <w:rPr>
          <w:rFonts w:asciiTheme="minorHAnsi" w:hAnsiTheme="minorHAnsi" w:cstheme="minorHAnsi"/>
          <w:sz w:val="22"/>
          <w:szCs w:val="22"/>
          <w:lang w:val="fr-BE"/>
        </w:rPr>
      </w:pPr>
      <w:r w:rsidRPr="002753E9">
        <w:rPr>
          <w:rStyle w:val="normaltextrun"/>
          <w:rFonts w:asciiTheme="minorHAnsi" w:eastAsiaTheme="majorEastAsia" w:hAnsiTheme="minorHAnsi" w:cstheme="minorHAnsi"/>
          <w:sz w:val="22"/>
          <w:szCs w:val="22"/>
          <w:lang w:val="fr-BE"/>
        </w:rPr>
        <w:t>Faire des pré-tests de stabilité à la conservation.</w:t>
      </w:r>
    </w:p>
    <w:p w14:paraId="0D7F76EC" w14:textId="77777777" w:rsidR="00590091" w:rsidRDefault="00590091" w:rsidP="00590091">
      <w:pPr>
        <w:spacing w:after="0" w:line="240" w:lineRule="auto"/>
        <w:jc w:val="both"/>
        <w:rPr>
          <w:rFonts w:cstheme="minorHAnsi"/>
        </w:rPr>
      </w:pPr>
    </w:p>
    <w:p w14:paraId="6E01FE7F" w14:textId="77777777" w:rsidR="00590091" w:rsidRDefault="00590091" w:rsidP="00590091">
      <w:pPr>
        <w:spacing w:after="0" w:line="240" w:lineRule="auto"/>
        <w:jc w:val="both"/>
        <w:rPr>
          <w:rFonts w:cstheme="minorHAnsi"/>
        </w:rPr>
      </w:pPr>
      <w:r>
        <w:rPr>
          <w:rFonts w:cstheme="minorHAnsi"/>
        </w:rPr>
        <w:t>La liste non exhaustive des éléments à quantifier/caractériser comprend :</w:t>
      </w:r>
    </w:p>
    <w:p w14:paraId="5D8D38E8" w14:textId="77777777" w:rsidR="00590091" w:rsidRDefault="00590091" w:rsidP="00590091">
      <w:pPr>
        <w:pStyle w:val="Paragraphedeliste"/>
        <w:numPr>
          <w:ilvl w:val="0"/>
          <w:numId w:val="12"/>
        </w:numPr>
        <w:spacing w:after="0" w:line="240" w:lineRule="auto"/>
        <w:jc w:val="both"/>
        <w:rPr>
          <w:rFonts w:cstheme="minorHAnsi"/>
        </w:rPr>
      </w:pPr>
      <w:r w:rsidRPr="004722B6">
        <w:rPr>
          <w:rFonts w:cstheme="minorHAnsi"/>
        </w:rPr>
        <w:lastRenderedPageBreak/>
        <w:t xml:space="preserve">Des facteurs nutritionnels : protéines, glucides, fibres, lipides, profils en acides aminés essentiels, </w:t>
      </w:r>
      <w:r>
        <w:rPr>
          <w:rFonts w:cstheme="minorHAnsi"/>
        </w:rPr>
        <w:t>v</w:t>
      </w:r>
      <w:r w:rsidRPr="004722B6">
        <w:rPr>
          <w:rFonts w:cstheme="minorHAnsi"/>
        </w:rPr>
        <w:t>itamines A, B, C, E et K, facteurs antioxydants, probiotiques</w:t>
      </w:r>
      <w:r>
        <w:rPr>
          <w:rFonts w:cstheme="minorHAnsi"/>
        </w:rPr>
        <w:t>, …</w:t>
      </w:r>
    </w:p>
    <w:p w14:paraId="0DCD1658" w14:textId="77777777" w:rsidR="00590091" w:rsidRDefault="00590091" w:rsidP="00590091">
      <w:pPr>
        <w:pStyle w:val="Paragraphedeliste"/>
        <w:numPr>
          <w:ilvl w:val="0"/>
          <w:numId w:val="12"/>
        </w:numPr>
        <w:spacing w:after="0" w:line="240" w:lineRule="auto"/>
        <w:jc w:val="both"/>
        <w:rPr>
          <w:rFonts w:cstheme="minorHAnsi"/>
        </w:rPr>
      </w:pPr>
      <w:r>
        <w:rPr>
          <w:rFonts w:cstheme="minorHAnsi"/>
        </w:rPr>
        <w:t>Des f</w:t>
      </w:r>
      <w:r w:rsidRPr="0058521A">
        <w:rPr>
          <w:rFonts w:cstheme="minorHAnsi"/>
        </w:rPr>
        <w:t xml:space="preserve">acteurs antinutritionnels : </w:t>
      </w:r>
      <w:r>
        <w:rPr>
          <w:rFonts w:cstheme="minorHAnsi"/>
        </w:rPr>
        <w:t>pesticides, métaux lourds, a</w:t>
      </w:r>
      <w:r w:rsidRPr="0058521A">
        <w:rPr>
          <w:rFonts w:cstheme="minorHAnsi"/>
        </w:rPr>
        <w:t>cide phytique, inhibiteur de la trypsine, lectine, saponine</w:t>
      </w:r>
      <w:r>
        <w:rPr>
          <w:rFonts w:cstheme="minorHAnsi"/>
        </w:rPr>
        <w:t>, …</w:t>
      </w:r>
    </w:p>
    <w:p w14:paraId="0FDEDD54" w14:textId="77777777" w:rsidR="00590091" w:rsidRPr="0058711F" w:rsidRDefault="00590091" w:rsidP="00590091">
      <w:pPr>
        <w:pStyle w:val="Paragraphedeliste"/>
        <w:numPr>
          <w:ilvl w:val="0"/>
          <w:numId w:val="12"/>
        </w:numPr>
        <w:spacing w:after="0" w:line="240" w:lineRule="auto"/>
        <w:jc w:val="both"/>
        <w:rPr>
          <w:rFonts w:cstheme="minorHAnsi"/>
        </w:rPr>
      </w:pPr>
      <w:r>
        <w:rPr>
          <w:rFonts w:cstheme="minorHAnsi"/>
        </w:rPr>
        <w:t>Les propriétés techno-fonctionnelles : s</w:t>
      </w:r>
      <w:r w:rsidRPr="0058711F">
        <w:rPr>
          <w:rFonts w:cstheme="minorHAnsi"/>
        </w:rPr>
        <w:t>olubilité</w:t>
      </w:r>
      <w:r>
        <w:rPr>
          <w:rFonts w:cstheme="minorHAnsi"/>
        </w:rPr>
        <w:t>,</w:t>
      </w:r>
      <w:r w:rsidRPr="00CD708E">
        <w:rPr>
          <w:rFonts w:cstheme="minorHAnsi"/>
        </w:rPr>
        <w:t xml:space="preserve"> </w:t>
      </w:r>
      <w:r w:rsidRPr="004722B6">
        <w:rPr>
          <w:rFonts w:cstheme="minorHAnsi"/>
        </w:rPr>
        <w:t>digestibilité in vitro,</w:t>
      </w:r>
      <w:r>
        <w:rPr>
          <w:rFonts w:cstheme="minorHAnsi"/>
        </w:rPr>
        <w:t xml:space="preserve"> …</w:t>
      </w:r>
    </w:p>
    <w:p w14:paraId="73DD8B32" w14:textId="77777777" w:rsidR="00590091" w:rsidRDefault="00590091" w:rsidP="00590091">
      <w:pPr>
        <w:spacing w:after="0" w:line="240" w:lineRule="auto"/>
        <w:jc w:val="both"/>
        <w:rPr>
          <w:rFonts w:cstheme="minorHAnsi"/>
        </w:rPr>
      </w:pPr>
    </w:p>
    <w:p w14:paraId="1531F966" w14:textId="77777777" w:rsidR="00590091" w:rsidRDefault="00590091" w:rsidP="00590091">
      <w:pPr>
        <w:spacing w:after="0" w:line="240" w:lineRule="auto"/>
        <w:jc w:val="both"/>
        <w:rPr>
          <w:rFonts w:cstheme="minorHAnsi"/>
        </w:rPr>
      </w:pPr>
    </w:p>
    <w:p w14:paraId="393977D3" w14:textId="77777777" w:rsidR="00590091" w:rsidRPr="00590091"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r w:rsidRPr="00590091">
        <w:rPr>
          <w:rFonts w:asciiTheme="majorHAnsi" w:hAnsiTheme="majorHAnsi" w:cstheme="majorHAnsi"/>
          <w:b/>
          <w:bCs/>
          <w:sz w:val="24"/>
          <w:szCs w:val="24"/>
        </w:rPr>
        <w:t xml:space="preserve">Projet ORVALOC - </w:t>
      </w:r>
      <w:r w:rsidRPr="00590091">
        <w:rPr>
          <w:rFonts w:asciiTheme="majorHAnsi" w:hAnsiTheme="majorHAnsi" w:cstheme="majorHAnsi"/>
          <w:b/>
          <w:bCs/>
          <w:noProof/>
          <w:sz w:val="24"/>
          <w:szCs w:val="24"/>
        </w:rPr>
        <w:t>Effet du terroir sur les variétés d’ORges brassicoles wallonnes dans le cadre de leur VAlorisation en circuit LOCal (</w:t>
      </w:r>
      <w:r w:rsidRPr="00590091">
        <w:rPr>
          <w:rFonts w:asciiTheme="majorHAnsi" w:hAnsiTheme="majorHAnsi" w:cstheme="majorHAnsi"/>
          <w:b/>
          <w:bCs/>
          <w:sz w:val="24"/>
          <w:szCs w:val="24"/>
        </w:rPr>
        <w:t>en collaboration avec le Centre wallon de Recherches Agronomiques)</w:t>
      </w:r>
    </w:p>
    <w:p w14:paraId="6CB6B536" w14:textId="77777777" w:rsidR="00590091" w:rsidRPr="00590091" w:rsidRDefault="00590091" w:rsidP="00590091">
      <w:pPr>
        <w:pStyle w:val="Corpsdetexte"/>
        <w:rPr>
          <w:rFonts w:asciiTheme="minorHAnsi" w:hAnsiTheme="minorHAnsi" w:cstheme="minorHAnsi"/>
          <w:sz w:val="22"/>
          <w:szCs w:val="16"/>
        </w:rPr>
      </w:pPr>
    </w:p>
    <w:p w14:paraId="3852D779" w14:textId="77777777" w:rsidR="00590091" w:rsidRPr="00590091" w:rsidRDefault="00590091" w:rsidP="00590091">
      <w:pPr>
        <w:pStyle w:val="Corpsdetexte"/>
        <w:rPr>
          <w:rFonts w:asciiTheme="minorHAnsi" w:hAnsiTheme="minorHAnsi" w:cstheme="minorHAnsi"/>
          <w:b/>
          <w:bCs/>
          <w:noProof/>
          <w:sz w:val="22"/>
          <w:szCs w:val="16"/>
          <w:lang w:val="fr-BE"/>
        </w:rPr>
      </w:pPr>
      <w:r w:rsidRPr="00590091">
        <w:rPr>
          <w:rFonts w:asciiTheme="minorHAnsi" w:hAnsiTheme="minorHAnsi" w:cstheme="minorHAnsi"/>
          <w:sz w:val="22"/>
          <w:szCs w:val="16"/>
        </w:rPr>
        <w:t>La Région Wallonne a mis sur pied un plan de développement stratégique de l’orge brassicole sur 10 ans, entre 2017 et 2027 afin de soutenir et de développer tous les acteurs à chaque niveau de production de la filière (COLLEGE DES PRODUCTEURS, 2017). Cette initiative vise à satisfaire les attentes des petites brasseries locales et revitaliser la culture Wallonne d’orge brassicole.</w:t>
      </w:r>
    </w:p>
    <w:p w14:paraId="5D21045D" w14:textId="77777777" w:rsidR="00590091" w:rsidRPr="00590091" w:rsidRDefault="00590091" w:rsidP="00590091">
      <w:pPr>
        <w:pStyle w:val="Corpsdetexte"/>
        <w:rPr>
          <w:rFonts w:asciiTheme="minorHAnsi" w:hAnsiTheme="minorHAnsi" w:cstheme="minorHAnsi"/>
          <w:sz w:val="22"/>
          <w:szCs w:val="16"/>
        </w:rPr>
      </w:pPr>
    </w:p>
    <w:p w14:paraId="56B14198"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 xml:space="preserve">L’objectif du travail proposé est de mettre en évidence un potentiel effet terroir de l’orge brassicole sur les flaveurs de la bière. Deux aspects sont à considérer : </w:t>
      </w:r>
    </w:p>
    <w:p w14:paraId="692E4DF1" w14:textId="77777777" w:rsidR="00590091" w:rsidRPr="00590091" w:rsidRDefault="00590091" w:rsidP="00590091">
      <w:pPr>
        <w:pStyle w:val="Corpsdetexte"/>
        <w:numPr>
          <w:ilvl w:val="0"/>
          <w:numId w:val="12"/>
        </w:numPr>
        <w:rPr>
          <w:rFonts w:asciiTheme="minorHAnsi" w:hAnsiTheme="minorHAnsi" w:cstheme="minorHAnsi"/>
          <w:b/>
          <w:bCs/>
          <w:noProof/>
          <w:sz w:val="22"/>
          <w:szCs w:val="16"/>
          <w:lang w:val="fr-BE"/>
        </w:rPr>
      </w:pPr>
      <w:r w:rsidRPr="00590091">
        <w:rPr>
          <w:rFonts w:asciiTheme="minorHAnsi" w:hAnsiTheme="minorHAnsi" w:cstheme="minorHAnsi"/>
          <w:sz w:val="22"/>
          <w:szCs w:val="16"/>
        </w:rPr>
        <w:t>Etudier l’influence de la variété d’orge sur la flaveur de la bière (suivis annuels)</w:t>
      </w:r>
    </w:p>
    <w:p w14:paraId="3070FBB5" w14:textId="77777777" w:rsidR="00590091" w:rsidRPr="00590091" w:rsidRDefault="00590091" w:rsidP="00590091">
      <w:pPr>
        <w:pStyle w:val="Corpsdetexte"/>
        <w:numPr>
          <w:ilvl w:val="0"/>
          <w:numId w:val="12"/>
        </w:numPr>
        <w:rPr>
          <w:rFonts w:asciiTheme="minorHAnsi" w:hAnsiTheme="minorHAnsi" w:cstheme="minorHAnsi"/>
          <w:b/>
          <w:bCs/>
          <w:noProof/>
          <w:sz w:val="22"/>
          <w:szCs w:val="16"/>
          <w:lang w:val="fr-BE"/>
        </w:rPr>
      </w:pPr>
      <w:r w:rsidRPr="00590091">
        <w:rPr>
          <w:rFonts w:asciiTheme="minorHAnsi" w:hAnsiTheme="minorHAnsi" w:cstheme="minorHAnsi"/>
          <w:sz w:val="22"/>
          <w:szCs w:val="16"/>
        </w:rPr>
        <w:t xml:space="preserve">Etudier l’influence des conditions </w:t>
      </w:r>
      <w:proofErr w:type="spellStart"/>
      <w:r w:rsidRPr="00590091">
        <w:rPr>
          <w:rFonts w:asciiTheme="minorHAnsi" w:hAnsiTheme="minorHAnsi" w:cstheme="minorHAnsi"/>
          <w:sz w:val="22"/>
          <w:szCs w:val="16"/>
        </w:rPr>
        <w:t>phytotechniques</w:t>
      </w:r>
      <w:proofErr w:type="spellEnd"/>
      <w:r w:rsidRPr="00590091">
        <w:rPr>
          <w:rFonts w:asciiTheme="minorHAnsi" w:hAnsiTheme="minorHAnsi" w:cstheme="minorHAnsi"/>
          <w:sz w:val="22"/>
          <w:szCs w:val="16"/>
        </w:rPr>
        <w:t xml:space="preserve">, soit selon le mode cultural, conventionnel ou biologique, soit selon la date de semis de la culture d’orge, sur la flaveur de la bière. </w:t>
      </w:r>
    </w:p>
    <w:p w14:paraId="79750A78"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 xml:space="preserve">Pour le suivi annuel, sept variétés d’orge dont les deux rangs d’hiver : Craft et Salamandre ; un six rangs d’hiver : Faro ; et les deux rangs de printemps : Planet, </w:t>
      </w:r>
      <w:proofErr w:type="spellStart"/>
      <w:r w:rsidRPr="00590091">
        <w:rPr>
          <w:rFonts w:asciiTheme="minorHAnsi" w:hAnsiTheme="minorHAnsi" w:cstheme="minorHAnsi"/>
          <w:sz w:val="22"/>
          <w:szCs w:val="16"/>
        </w:rPr>
        <w:t>Fantex</w:t>
      </w:r>
      <w:proofErr w:type="spellEnd"/>
      <w:r w:rsidRPr="00590091">
        <w:rPr>
          <w:rFonts w:asciiTheme="minorHAnsi" w:hAnsiTheme="minorHAnsi" w:cstheme="minorHAnsi"/>
          <w:sz w:val="22"/>
          <w:szCs w:val="16"/>
        </w:rPr>
        <w:t xml:space="preserve">, Tosca et </w:t>
      </w:r>
      <w:proofErr w:type="spellStart"/>
      <w:r w:rsidRPr="00590091">
        <w:rPr>
          <w:rFonts w:asciiTheme="minorHAnsi" w:hAnsiTheme="minorHAnsi" w:cstheme="minorHAnsi"/>
          <w:sz w:val="22"/>
          <w:szCs w:val="16"/>
        </w:rPr>
        <w:t>Accordine</w:t>
      </w:r>
      <w:proofErr w:type="spellEnd"/>
      <w:r w:rsidRPr="00590091">
        <w:rPr>
          <w:rFonts w:asciiTheme="minorHAnsi" w:hAnsiTheme="minorHAnsi" w:cstheme="minorHAnsi"/>
          <w:sz w:val="22"/>
          <w:szCs w:val="16"/>
        </w:rPr>
        <w:t xml:space="preserve">, que l’on sait propices à nos régions sont emblavées sur une même parcelle dans la région de Namur (Gembloux). Elles sont récoltées, stockées et maltées (malts de type Pilsen) dans les mêmes conditions afin de mettre en avant le facteur variétal. Une recette standardisée de brassage et de fermentation est mise en place pour caractériser les moûts et les bières obtenus. </w:t>
      </w:r>
    </w:p>
    <w:p w14:paraId="1A1F94E2"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Les résultats seront comparés à ceux obtenus en 2020, 2021 et 2022</w:t>
      </w:r>
      <w:r w:rsidRPr="00590091">
        <w:rPr>
          <w:rStyle w:val="Appelnotedebasdep"/>
          <w:rFonts w:asciiTheme="minorHAnsi" w:eastAsiaTheme="majorEastAsia" w:hAnsiTheme="minorHAnsi" w:cstheme="minorHAnsi"/>
          <w:sz w:val="22"/>
          <w:szCs w:val="16"/>
        </w:rPr>
        <w:footnoteReference w:id="10"/>
      </w:r>
      <w:r w:rsidRPr="00590091">
        <w:rPr>
          <w:rFonts w:asciiTheme="minorHAnsi" w:hAnsiTheme="minorHAnsi" w:cstheme="minorHAnsi"/>
          <w:sz w:val="22"/>
          <w:szCs w:val="16"/>
        </w:rPr>
        <w:t xml:space="preserve">. </w:t>
      </w:r>
    </w:p>
    <w:p w14:paraId="489F5C2C"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 xml:space="preserve">Pour l’influence du mode de culture à savoir biologique versus conventionnel raisonné, 3 variétés sont considérées, Craft (2RH), </w:t>
      </w:r>
      <w:proofErr w:type="spellStart"/>
      <w:r w:rsidRPr="00590091">
        <w:rPr>
          <w:rFonts w:asciiTheme="minorHAnsi" w:hAnsiTheme="minorHAnsi" w:cstheme="minorHAnsi"/>
          <w:sz w:val="22"/>
          <w:szCs w:val="16"/>
        </w:rPr>
        <w:t>Fantex</w:t>
      </w:r>
      <w:proofErr w:type="spellEnd"/>
      <w:r w:rsidRPr="00590091">
        <w:rPr>
          <w:rFonts w:asciiTheme="minorHAnsi" w:hAnsiTheme="minorHAnsi" w:cstheme="minorHAnsi"/>
          <w:sz w:val="22"/>
          <w:szCs w:val="16"/>
        </w:rPr>
        <w:t xml:space="preserve"> et Planet en 2RP. Elles sont cultivées à Gembloux, sur des parcelles proches mais bien différenciées dans leur gestion culturale.</w:t>
      </w:r>
    </w:p>
    <w:p w14:paraId="249FD50F" w14:textId="77777777" w:rsidR="00590091" w:rsidRPr="00590091" w:rsidRDefault="00590091" w:rsidP="00590091">
      <w:pPr>
        <w:pStyle w:val="Corpsdetexte"/>
        <w:rPr>
          <w:rFonts w:asciiTheme="minorHAnsi" w:hAnsiTheme="minorHAnsi" w:cstheme="minorHAnsi"/>
          <w:sz w:val="22"/>
          <w:szCs w:val="16"/>
        </w:rPr>
      </w:pPr>
    </w:p>
    <w:p w14:paraId="22BD6875" w14:textId="77777777" w:rsidR="00590091" w:rsidRPr="00590091" w:rsidRDefault="00590091" w:rsidP="00590091">
      <w:pPr>
        <w:pStyle w:val="Corpsdetexte"/>
        <w:rPr>
          <w:rFonts w:asciiTheme="minorHAnsi" w:hAnsiTheme="minorHAnsi" w:cstheme="minorHAnsi"/>
          <w:b/>
          <w:bCs/>
          <w:noProof/>
          <w:sz w:val="22"/>
          <w:szCs w:val="16"/>
          <w:lang w:val="fr-BE"/>
        </w:rPr>
      </w:pPr>
      <w:r w:rsidRPr="00590091">
        <w:rPr>
          <w:rFonts w:asciiTheme="minorHAnsi" w:hAnsiTheme="minorHAnsi" w:cstheme="minorHAnsi"/>
          <w:sz w:val="22"/>
          <w:szCs w:val="16"/>
        </w:rPr>
        <w:t>En plus des analyses physico-chimiques (humidité, protéine, calibre, taux d’alcool, rendement d’extrait, amertume, etc.) classiques basées sur les protocoles recommandés par l’EBC (</w:t>
      </w:r>
      <w:proofErr w:type="spellStart"/>
      <w:r w:rsidRPr="00590091">
        <w:rPr>
          <w:rFonts w:asciiTheme="minorHAnsi" w:hAnsiTheme="minorHAnsi" w:cstheme="minorHAnsi"/>
          <w:sz w:val="22"/>
          <w:szCs w:val="16"/>
        </w:rPr>
        <w:t>European</w:t>
      </w:r>
      <w:proofErr w:type="spellEnd"/>
      <w:r w:rsidRPr="00590091">
        <w:rPr>
          <w:rFonts w:asciiTheme="minorHAnsi" w:hAnsiTheme="minorHAnsi" w:cstheme="minorHAnsi"/>
          <w:sz w:val="22"/>
          <w:szCs w:val="16"/>
        </w:rPr>
        <w:t xml:space="preserve"> </w:t>
      </w:r>
      <w:proofErr w:type="spellStart"/>
      <w:r w:rsidRPr="00590091">
        <w:rPr>
          <w:rFonts w:asciiTheme="minorHAnsi" w:hAnsiTheme="minorHAnsi" w:cstheme="minorHAnsi"/>
          <w:sz w:val="22"/>
          <w:szCs w:val="16"/>
        </w:rPr>
        <w:t>Brewery</w:t>
      </w:r>
      <w:proofErr w:type="spellEnd"/>
      <w:r w:rsidRPr="00590091">
        <w:rPr>
          <w:rFonts w:asciiTheme="minorHAnsi" w:hAnsiTheme="minorHAnsi" w:cstheme="minorHAnsi"/>
          <w:sz w:val="22"/>
          <w:szCs w:val="16"/>
        </w:rPr>
        <w:t xml:space="preserve"> Convention) réalisées à chaque étape, une analyse sensorielle (avec traitements statistiques) poussée des moûts et des bières obtenus est effectuée par un panel d’experts. </w:t>
      </w:r>
    </w:p>
    <w:p w14:paraId="575D1955" w14:textId="77777777" w:rsidR="00590091" w:rsidRDefault="00590091" w:rsidP="00590091">
      <w:pPr>
        <w:spacing w:after="0" w:line="240" w:lineRule="auto"/>
        <w:jc w:val="both"/>
        <w:rPr>
          <w:rFonts w:cstheme="minorHAnsi"/>
          <w:sz w:val="18"/>
          <w:szCs w:val="18"/>
        </w:rPr>
      </w:pPr>
    </w:p>
    <w:p w14:paraId="29A1C100" w14:textId="77777777" w:rsidR="00590091" w:rsidRPr="00A90607" w:rsidRDefault="00590091" w:rsidP="00590091">
      <w:pPr>
        <w:spacing w:after="0" w:line="240" w:lineRule="auto"/>
        <w:jc w:val="both"/>
        <w:rPr>
          <w:rFonts w:cstheme="minorHAnsi"/>
          <w:sz w:val="18"/>
          <w:szCs w:val="18"/>
        </w:rPr>
      </w:pPr>
    </w:p>
    <w:p w14:paraId="3D75DECA" w14:textId="77777777" w:rsidR="00590091" w:rsidRPr="00590091" w:rsidRDefault="00590091" w:rsidP="00590091">
      <w:pPr>
        <w:pStyle w:val="Paragraphedeliste"/>
        <w:numPr>
          <w:ilvl w:val="0"/>
          <w:numId w:val="11"/>
        </w:numPr>
        <w:spacing w:after="0" w:line="240" w:lineRule="auto"/>
        <w:jc w:val="both"/>
        <w:rPr>
          <w:rFonts w:asciiTheme="majorHAnsi" w:hAnsiTheme="majorHAnsi" w:cstheme="majorHAnsi"/>
          <w:b/>
          <w:bCs/>
          <w:sz w:val="24"/>
          <w:szCs w:val="24"/>
        </w:rPr>
      </w:pPr>
      <w:r w:rsidRPr="00590091">
        <w:rPr>
          <w:rFonts w:asciiTheme="majorHAnsi" w:hAnsiTheme="majorHAnsi" w:cstheme="majorHAnsi"/>
          <w:b/>
          <w:bCs/>
          <w:sz w:val="24"/>
          <w:szCs w:val="24"/>
        </w:rPr>
        <w:t>Caractérisation des chocolats par la technique de l’infra-rouge proche (NIR)</w:t>
      </w:r>
    </w:p>
    <w:p w14:paraId="6DF0B14A" w14:textId="77777777" w:rsidR="00590091" w:rsidRPr="00590091" w:rsidRDefault="00590091" w:rsidP="00590091">
      <w:pPr>
        <w:pStyle w:val="Corpsdetexte"/>
        <w:rPr>
          <w:rFonts w:asciiTheme="minorHAnsi" w:hAnsiTheme="minorHAnsi" w:cstheme="minorHAnsi"/>
          <w:sz w:val="22"/>
          <w:szCs w:val="16"/>
        </w:rPr>
      </w:pPr>
    </w:p>
    <w:p w14:paraId="45CE4FC8"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 xml:space="preserve">Le chocolat est une suspension composée de particules non grasses (particules solides de sucre et cacao et éventuellement de particules de lait en poudre) dispersées dans une phase continue de beurre de cacao. Sa qualité est fortement influencée par la teneur de quatre composants à savoir les matières grasses, les protéines, le sucre et l'eau. Ces éléments contribuent à la sensation en bouche, à la fonte et à la libération des arômes. </w:t>
      </w:r>
    </w:p>
    <w:p w14:paraId="16D774B7"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 xml:space="preserve">Les autres critères couramment évalués sur le chocolat sont la distribution de la taille des particules, la viscosité dynamique et le polymorphisme et les transitions de phase du beurre de cacao (calorimétrie différentielle à balayage (DSC)).  Toutes ces analyses permettent de prédirent la texture, la saveur du produit </w:t>
      </w:r>
      <w:r w:rsidRPr="00590091">
        <w:rPr>
          <w:rFonts w:asciiTheme="minorHAnsi" w:hAnsiTheme="minorHAnsi" w:cstheme="minorHAnsi"/>
          <w:sz w:val="22"/>
          <w:szCs w:val="16"/>
        </w:rPr>
        <w:lastRenderedPageBreak/>
        <w:t xml:space="preserve">final et sa résistance à la chaleur, sa stabilité au stockage. Elles s’accompagnent d’une analyse sensorielle. Unique méthode pour évaluer les qualités organoleptiques d’un produit, elle nécessite le recrutement d’un panel et sa formation afin d’être utilisé comme outil de mesure. </w:t>
      </w:r>
    </w:p>
    <w:p w14:paraId="62A547C7"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Les méthodes actuelles pour tester les paramètres d'intérêt dans le cacao et le chocolat sont coûteuses, laborieuses et prennent du temps, en particulier lorsqu'elles sont mises en œuvre dans le cadre d'un processus. Le contrôle en ligne n'est pas pratique et parfois impossible. Il existe un besoin de surveillance rapide, rentable et en temps réel des paramètres à tous les stades du processus de fabrication du cacao et du chocolat. La spectroscopie NIR est l'une des méthodes qui a été examinée</w:t>
      </w:r>
      <w:r w:rsidRPr="00590091">
        <w:rPr>
          <w:rStyle w:val="Appelnotedebasdep"/>
          <w:rFonts w:asciiTheme="minorHAnsi" w:eastAsiaTheme="majorEastAsia" w:hAnsiTheme="minorHAnsi" w:cstheme="minorHAnsi"/>
          <w:sz w:val="22"/>
          <w:szCs w:val="16"/>
        </w:rPr>
        <w:footnoteReference w:id="11"/>
      </w:r>
      <w:r w:rsidRPr="00590091">
        <w:rPr>
          <w:rFonts w:asciiTheme="minorHAnsi" w:hAnsiTheme="minorHAnsi" w:cstheme="minorHAnsi"/>
          <w:sz w:val="22"/>
          <w:szCs w:val="16"/>
        </w:rPr>
        <w:t>.</w:t>
      </w:r>
    </w:p>
    <w:p w14:paraId="79BF7914"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Cette technique est basée sur l’absorption de la lumière par la matière organique présente dans les échantillons (spectre lumineux : entre 800 et 2500 nm). Elle nécessite une phase de calibration qui permet de lier le spectre infrarouge obtenu avec les résultats des analyses physico-chimiques et sensorielles.</w:t>
      </w:r>
    </w:p>
    <w:p w14:paraId="4194E1A9" w14:textId="77777777" w:rsidR="00590091" w:rsidRPr="00590091" w:rsidRDefault="00590091" w:rsidP="00590091">
      <w:pPr>
        <w:pStyle w:val="Corpsdetexte"/>
        <w:rPr>
          <w:rFonts w:asciiTheme="minorHAnsi" w:hAnsiTheme="minorHAnsi" w:cstheme="minorHAnsi"/>
          <w:sz w:val="22"/>
          <w:szCs w:val="16"/>
        </w:rPr>
      </w:pPr>
    </w:p>
    <w:p w14:paraId="07A1F1BB" w14:textId="77777777" w:rsidR="00590091" w:rsidRPr="00590091" w:rsidRDefault="00590091" w:rsidP="00590091">
      <w:pPr>
        <w:pStyle w:val="Corpsdetexte"/>
        <w:rPr>
          <w:rFonts w:asciiTheme="minorHAnsi" w:hAnsiTheme="minorHAnsi" w:cstheme="minorHAnsi"/>
          <w:sz w:val="22"/>
          <w:szCs w:val="16"/>
        </w:rPr>
      </w:pPr>
      <w:r w:rsidRPr="00590091">
        <w:rPr>
          <w:rFonts w:asciiTheme="minorHAnsi" w:hAnsiTheme="minorHAnsi" w:cstheme="minorHAnsi"/>
          <w:sz w:val="22"/>
          <w:szCs w:val="16"/>
        </w:rPr>
        <w:t>Ce travail propose de collecter des résultats des analyses physico-chimiques et sensoriels et de les relier à l’analyse NIR. Il s‘effectue en partenariat avec la société Godiva.</w:t>
      </w:r>
    </w:p>
    <w:p w14:paraId="6AC34489" w14:textId="77777777" w:rsidR="00590091" w:rsidRPr="00590091" w:rsidRDefault="00590091" w:rsidP="00590091">
      <w:pPr>
        <w:pStyle w:val="Corpsdetexte"/>
        <w:rPr>
          <w:rFonts w:asciiTheme="minorHAnsi" w:hAnsiTheme="minorHAnsi" w:cstheme="minorHAnsi"/>
          <w:sz w:val="22"/>
          <w:szCs w:val="16"/>
        </w:rPr>
      </w:pPr>
    </w:p>
    <w:p w14:paraId="60291F0C" w14:textId="77777777" w:rsidR="00590091" w:rsidRPr="00590091" w:rsidRDefault="00590091" w:rsidP="00590091">
      <w:pPr>
        <w:pStyle w:val="Corpsdetexte"/>
        <w:rPr>
          <w:rFonts w:asciiTheme="minorHAnsi" w:hAnsiTheme="minorHAnsi" w:cstheme="minorHAnsi"/>
          <w:sz w:val="22"/>
          <w:szCs w:val="16"/>
        </w:rPr>
      </w:pPr>
    </w:p>
    <w:p w14:paraId="5D5C4671" w14:textId="77777777" w:rsidR="00A20352" w:rsidRPr="00590091" w:rsidRDefault="00A20352" w:rsidP="00590091">
      <w:pPr>
        <w:rPr>
          <w:szCs w:val="24"/>
        </w:rPr>
      </w:pPr>
    </w:p>
    <w:sectPr w:rsidR="00A20352" w:rsidRPr="00590091" w:rsidSect="00590091">
      <w:footerReference w:type="default" r:id="rId8"/>
      <w:headerReference w:type="first" r:id="rId9"/>
      <w:footerReference w:type="first" r:id="rId10"/>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5B94" w14:textId="77777777" w:rsidR="00590091" w:rsidRDefault="00590091" w:rsidP="00FB3757">
      <w:pPr>
        <w:spacing w:after="0" w:line="240" w:lineRule="auto"/>
      </w:pPr>
      <w:r>
        <w:separator/>
      </w:r>
    </w:p>
  </w:endnote>
  <w:endnote w:type="continuationSeparator" w:id="0">
    <w:p w14:paraId="33001FA7" w14:textId="77777777" w:rsidR="00590091" w:rsidRDefault="00590091"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07A"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47C167DD" wp14:editId="61BA563C">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313B67" w:rsidRPr="00313B67">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8A09" w14:textId="77777777" w:rsidR="003452B7" w:rsidRDefault="001A2490">
    <w:pPr>
      <w:pStyle w:val="Pieddepage"/>
    </w:pPr>
    <w:r>
      <w:rPr>
        <w:noProof/>
        <w:lang w:eastAsia="fr-BE"/>
      </w:rPr>
      <w:drawing>
        <wp:inline distT="0" distB="0" distL="0" distR="0" wp14:anchorId="585C4859" wp14:editId="6750685A">
          <wp:extent cx="6553835" cy="7251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835" cy="7251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2A99" w14:textId="77777777" w:rsidR="00590091" w:rsidRDefault="00590091" w:rsidP="00FB3757">
      <w:pPr>
        <w:spacing w:after="0" w:line="240" w:lineRule="auto"/>
      </w:pPr>
      <w:r>
        <w:separator/>
      </w:r>
    </w:p>
  </w:footnote>
  <w:footnote w:type="continuationSeparator" w:id="0">
    <w:p w14:paraId="14C9F6FF" w14:textId="77777777" w:rsidR="00590091" w:rsidRDefault="00590091" w:rsidP="00FB3757">
      <w:pPr>
        <w:spacing w:after="0" w:line="240" w:lineRule="auto"/>
      </w:pPr>
      <w:r>
        <w:continuationSeparator/>
      </w:r>
    </w:p>
  </w:footnote>
  <w:footnote w:id="1">
    <w:p w14:paraId="2499030D" w14:textId="77777777" w:rsidR="00590091" w:rsidRPr="000A26A3" w:rsidRDefault="00590091" w:rsidP="00590091">
      <w:pPr>
        <w:pStyle w:val="Pieddepage"/>
        <w:rPr>
          <w:sz w:val="20"/>
          <w:szCs w:val="20"/>
          <w:lang w:val="en-US"/>
        </w:rPr>
      </w:pPr>
      <w:r w:rsidRPr="000A26A3">
        <w:rPr>
          <w:rStyle w:val="Appelnotedebasdep"/>
          <w:sz w:val="20"/>
          <w:szCs w:val="20"/>
        </w:rPr>
        <w:footnoteRef/>
      </w:r>
      <w:r w:rsidRPr="000A26A3">
        <w:rPr>
          <w:sz w:val="20"/>
          <w:szCs w:val="20"/>
          <w:lang w:val="en-GB"/>
        </w:rPr>
        <w:t xml:space="preserve"> </w:t>
      </w:r>
      <w:r w:rsidRPr="000A26A3">
        <w:rPr>
          <w:sz w:val="20"/>
          <w:szCs w:val="20"/>
          <w:lang w:val="en-US"/>
        </w:rPr>
        <w:t xml:space="preserve">Neiman (2011) Sporulation in the budding yeast </w:t>
      </w:r>
      <w:r w:rsidRPr="000A26A3">
        <w:rPr>
          <w:i/>
          <w:iCs/>
          <w:sz w:val="20"/>
          <w:szCs w:val="20"/>
          <w:lang w:val="en-US"/>
        </w:rPr>
        <w:t>Saccharomyces cerevisiae</w:t>
      </w:r>
      <w:r w:rsidRPr="000A26A3">
        <w:rPr>
          <w:sz w:val="20"/>
          <w:szCs w:val="20"/>
          <w:lang w:val="en-US"/>
        </w:rPr>
        <w:t xml:space="preserve">, </w:t>
      </w:r>
      <w:r w:rsidRPr="000A26A3">
        <w:rPr>
          <w:i/>
          <w:iCs/>
          <w:sz w:val="20"/>
          <w:szCs w:val="20"/>
          <w:lang w:val="en-US"/>
        </w:rPr>
        <w:t>Genetics</w:t>
      </w:r>
      <w:r w:rsidRPr="000A26A3">
        <w:rPr>
          <w:sz w:val="20"/>
          <w:szCs w:val="20"/>
          <w:lang w:val="en-US"/>
        </w:rPr>
        <w:t xml:space="preserve"> 189 737-765.</w:t>
      </w:r>
    </w:p>
  </w:footnote>
  <w:footnote w:id="2">
    <w:p w14:paraId="1D16CE96" w14:textId="77777777" w:rsidR="00590091" w:rsidRPr="000A26A3" w:rsidRDefault="00590091" w:rsidP="00590091">
      <w:pPr>
        <w:pStyle w:val="Pieddepage"/>
        <w:rPr>
          <w:sz w:val="20"/>
          <w:szCs w:val="20"/>
          <w:lang w:val="en-US"/>
        </w:rPr>
      </w:pPr>
      <w:r w:rsidRPr="000A26A3">
        <w:rPr>
          <w:rStyle w:val="Appelnotedebasdep"/>
          <w:sz w:val="20"/>
          <w:szCs w:val="20"/>
        </w:rPr>
        <w:footnoteRef/>
      </w:r>
      <w:r w:rsidRPr="000A26A3">
        <w:rPr>
          <w:sz w:val="20"/>
          <w:szCs w:val="20"/>
          <w:lang w:val="en-GB"/>
        </w:rPr>
        <w:t xml:space="preserve"> </w:t>
      </w:r>
      <w:proofErr w:type="spellStart"/>
      <w:r w:rsidRPr="000A26A3">
        <w:rPr>
          <w:sz w:val="20"/>
          <w:szCs w:val="20"/>
          <w:lang w:val="en-US"/>
        </w:rPr>
        <w:t>Steensels</w:t>
      </w:r>
      <w:proofErr w:type="spellEnd"/>
      <w:r w:rsidRPr="000A26A3">
        <w:rPr>
          <w:sz w:val="20"/>
          <w:szCs w:val="20"/>
          <w:lang w:val="en-US"/>
        </w:rPr>
        <w:t xml:space="preserve"> </w:t>
      </w:r>
      <w:r w:rsidRPr="000A26A3">
        <w:rPr>
          <w:i/>
          <w:iCs/>
          <w:sz w:val="20"/>
          <w:szCs w:val="20"/>
          <w:lang w:val="en-US"/>
        </w:rPr>
        <w:t>et al</w:t>
      </w:r>
      <w:r w:rsidRPr="000A26A3">
        <w:rPr>
          <w:sz w:val="20"/>
          <w:szCs w:val="20"/>
          <w:lang w:val="en-US"/>
        </w:rPr>
        <w:t xml:space="preserve">. (2014) Improving industrial yeast strains: exploiting natural and artificial diversity, </w:t>
      </w:r>
    </w:p>
    <w:p w14:paraId="0F000133" w14:textId="77777777" w:rsidR="00590091" w:rsidRPr="000A26A3" w:rsidRDefault="00590091" w:rsidP="00590091">
      <w:pPr>
        <w:pStyle w:val="Notedebasdepage"/>
        <w:rPr>
          <w:lang w:val="en-US"/>
        </w:rPr>
      </w:pPr>
      <w:r w:rsidRPr="000A26A3">
        <w:rPr>
          <w:i/>
          <w:iCs/>
          <w:lang w:val="en-US"/>
        </w:rPr>
        <w:t xml:space="preserve">FEMS </w:t>
      </w:r>
      <w:proofErr w:type="spellStart"/>
      <w:r w:rsidRPr="000A26A3">
        <w:rPr>
          <w:i/>
          <w:iCs/>
          <w:lang w:val="en-US"/>
        </w:rPr>
        <w:t>Microbiol</w:t>
      </w:r>
      <w:proofErr w:type="spellEnd"/>
      <w:r w:rsidRPr="000A26A3">
        <w:rPr>
          <w:i/>
          <w:iCs/>
          <w:lang w:val="en-US"/>
        </w:rPr>
        <w:t xml:space="preserve"> Rev </w:t>
      </w:r>
      <w:r w:rsidRPr="000A26A3">
        <w:rPr>
          <w:lang w:val="en-US"/>
        </w:rPr>
        <w:t>38 947-995.</w:t>
      </w:r>
    </w:p>
  </w:footnote>
  <w:footnote w:id="3">
    <w:p w14:paraId="0E3AB78E" w14:textId="77777777" w:rsidR="00590091" w:rsidRPr="000A26A3" w:rsidRDefault="00590091" w:rsidP="00590091">
      <w:pPr>
        <w:pStyle w:val="Pieddepage"/>
        <w:rPr>
          <w:i/>
          <w:iCs/>
          <w:sz w:val="20"/>
          <w:szCs w:val="20"/>
          <w:lang w:val="en-US"/>
        </w:rPr>
      </w:pPr>
      <w:r w:rsidRPr="000A26A3">
        <w:rPr>
          <w:rStyle w:val="Appelnotedebasdep"/>
          <w:sz w:val="20"/>
          <w:szCs w:val="20"/>
        </w:rPr>
        <w:footnoteRef/>
      </w:r>
      <w:r w:rsidRPr="000A26A3">
        <w:rPr>
          <w:sz w:val="20"/>
          <w:szCs w:val="20"/>
          <w:lang w:val="en-GB"/>
        </w:rPr>
        <w:t xml:space="preserve"> </w:t>
      </w:r>
      <w:proofErr w:type="spellStart"/>
      <w:r w:rsidRPr="000A26A3">
        <w:rPr>
          <w:sz w:val="20"/>
          <w:szCs w:val="20"/>
          <w:lang w:val="en-US"/>
        </w:rPr>
        <w:t>Pujiati</w:t>
      </w:r>
      <w:proofErr w:type="spellEnd"/>
      <w:r w:rsidRPr="000A26A3">
        <w:rPr>
          <w:sz w:val="20"/>
          <w:szCs w:val="20"/>
          <w:lang w:val="en-US"/>
        </w:rPr>
        <w:t xml:space="preserve"> (2021) The quality test of fermented ginger drink (ginger ale) produced from various types of Indonesian Ginger, </w:t>
      </w:r>
      <w:r w:rsidRPr="000A26A3">
        <w:rPr>
          <w:i/>
          <w:iCs/>
          <w:sz w:val="20"/>
          <w:szCs w:val="20"/>
          <w:lang w:val="en-US"/>
        </w:rPr>
        <w:t>Proceedings of the 2</w:t>
      </w:r>
      <w:r w:rsidRPr="000A26A3">
        <w:rPr>
          <w:i/>
          <w:iCs/>
          <w:sz w:val="20"/>
          <w:szCs w:val="20"/>
          <w:vertAlign w:val="superscript"/>
          <w:lang w:val="en-US"/>
        </w:rPr>
        <w:t>nd</w:t>
      </w:r>
      <w:r w:rsidRPr="000A26A3">
        <w:rPr>
          <w:i/>
          <w:iCs/>
          <w:sz w:val="20"/>
          <w:szCs w:val="20"/>
          <w:lang w:val="en-US"/>
        </w:rPr>
        <w:t xml:space="preserve"> International Conference on Education and Technology.</w:t>
      </w:r>
    </w:p>
  </w:footnote>
  <w:footnote w:id="4">
    <w:p w14:paraId="7DA074A2" w14:textId="77777777" w:rsidR="00590091" w:rsidRPr="00AD3FB7" w:rsidRDefault="00590091" w:rsidP="00590091">
      <w:pPr>
        <w:pStyle w:val="Pieddepage"/>
        <w:rPr>
          <w:i/>
          <w:iCs/>
          <w:sz w:val="20"/>
          <w:szCs w:val="20"/>
          <w:lang w:val="en-US"/>
        </w:rPr>
      </w:pPr>
      <w:r w:rsidRPr="000A26A3">
        <w:rPr>
          <w:rStyle w:val="Appelnotedebasdep"/>
          <w:sz w:val="20"/>
          <w:szCs w:val="20"/>
        </w:rPr>
        <w:footnoteRef/>
      </w:r>
      <w:r w:rsidRPr="000A26A3">
        <w:rPr>
          <w:sz w:val="20"/>
          <w:szCs w:val="20"/>
          <w:lang w:val="en-GB"/>
        </w:rPr>
        <w:t xml:space="preserve"> </w:t>
      </w:r>
      <w:proofErr w:type="spellStart"/>
      <w:r w:rsidRPr="000A26A3">
        <w:rPr>
          <w:sz w:val="20"/>
          <w:szCs w:val="20"/>
          <w:lang w:val="en-US"/>
        </w:rPr>
        <w:t>Nutakor</w:t>
      </w:r>
      <w:proofErr w:type="spellEnd"/>
      <w:r w:rsidRPr="000A26A3">
        <w:rPr>
          <w:sz w:val="20"/>
          <w:szCs w:val="20"/>
          <w:lang w:val="en-US"/>
        </w:rPr>
        <w:t xml:space="preserve"> </w:t>
      </w:r>
      <w:r w:rsidRPr="000A26A3">
        <w:rPr>
          <w:i/>
          <w:iCs/>
          <w:sz w:val="20"/>
          <w:szCs w:val="20"/>
          <w:lang w:val="en-US"/>
        </w:rPr>
        <w:t>et al</w:t>
      </w:r>
      <w:r w:rsidRPr="000A26A3">
        <w:rPr>
          <w:sz w:val="20"/>
          <w:szCs w:val="20"/>
          <w:lang w:val="en-US"/>
        </w:rPr>
        <w:t xml:space="preserve">. (2020) Ginger beer: an overview of health benefits and recent developments, </w:t>
      </w:r>
      <w:r w:rsidRPr="000A26A3">
        <w:rPr>
          <w:i/>
          <w:iCs/>
          <w:sz w:val="20"/>
          <w:szCs w:val="20"/>
          <w:lang w:val="en-US"/>
        </w:rPr>
        <w:t>Fermentations 102</w:t>
      </w:r>
    </w:p>
  </w:footnote>
  <w:footnote w:id="5">
    <w:p w14:paraId="0FA777F2" w14:textId="77777777" w:rsidR="00590091" w:rsidRPr="00F45C71" w:rsidRDefault="00590091" w:rsidP="00590091">
      <w:pPr>
        <w:spacing w:after="0"/>
        <w:jc w:val="both"/>
        <w:rPr>
          <w:sz w:val="20"/>
          <w:szCs w:val="20"/>
          <w:lang w:val="en-GB"/>
        </w:rPr>
      </w:pPr>
      <w:r w:rsidRPr="00F45C71">
        <w:rPr>
          <w:rStyle w:val="Appelnotedebasdep"/>
          <w:sz w:val="20"/>
          <w:szCs w:val="20"/>
        </w:rPr>
        <w:footnoteRef/>
      </w:r>
      <w:r w:rsidRPr="00F45C71">
        <w:rPr>
          <w:sz w:val="20"/>
          <w:szCs w:val="20"/>
          <w:lang w:val="en-GB"/>
        </w:rPr>
        <w:t xml:space="preserve"> </w:t>
      </w:r>
      <w:proofErr w:type="spellStart"/>
      <w:r w:rsidRPr="00F45C71">
        <w:rPr>
          <w:sz w:val="20"/>
          <w:szCs w:val="20"/>
          <w:lang w:val="en-GB"/>
        </w:rPr>
        <w:t>Londero</w:t>
      </w:r>
      <w:proofErr w:type="spellEnd"/>
      <w:r w:rsidRPr="00F45C71">
        <w:rPr>
          <w:sz w:val="20"/>
          <w:szCs w:val="20"/>
          <w:lang w:val="en-GB"/>
        </w:rPr>
        <w:t xml:space="preserve"> et al. (2012) Kefir grains as a starter for whey fermentation at different temperatures: chemical and microbiological characterisation. Journal of Dairy Research 79 262–271.</w:t>
      </w:r>
    </w:p>
  </w:footnote>
  <w:footnote w:id="6">
    <w:p w14:paraId="26B13397" w14:textId="77777777" w:rsidR="00590091" w:rsidRPr="00F45C71" w:rsidRDefault="00590091" w:rsidP="00590091">
      <w:pPr>
        <w:spacing w:after="0" w:line="240" w:lineRule="auto"/>
        <w:jc w:val="both"/>
        <w:rPr>
          <w:rFonts w:ascii="Calibri" w:hAnsi="Calibri" w:cs="Calibri"/>
          <w:sz w:val="20"/>
          <w:szCs w:val="20"/>
          <w:lang w:val="en-GB" w:eastAsia="fr-BE"/>
        </w:rPr>
      </w:pPr>
      <w:r w:rsidRPr="00F45C71">
        <w:rPr>
          <w:rStyle w:val="Appelnotedebasdep"/>
          <w:sz w:val="20"/>
          <w:szCs w:val="20"/>
        </w:rPr>
        <w:footnoteRef/>
      </w:r>
      <w:r w:rsidRPr="00F45C71">
        <w:rPr>
          <w:sz w:val="20"/>
          <w:szCs w:val="20"/>
          <w:lang w:val="en-GB"/>
        </w:rPr>
        <w:t xml:space="preserve"> </w:t>
      </w:r>
      <w:r w:rsidRPr="00F45C71">
        <w:rPr>
          <w:rFonts w:ascii="Calibri" w:hAnsi="Calibri" w:cs="Calibri"/>
          <w:sz w:val="20"/>
          <w:szCs w:val="20"/>
          <w:lang w:val="en-GB" w:eastAsia="fr-BE"/>
        </w:rPr>
        <w:t xml:space="preserve">Bastin, P., Van Nedervelde, L., </w:t>
      </w:r>
      <w:proofErr w:type="spellStart"/>
      <w:r w:rsidRPr="00F45C71">
        <w:rPr>
          <w:rFonts w:ascii="Calibri" w:hAnsi="Calibri" w:cs="Calibri"/>
          <w:sz w:val="20"/>
          <w:szCs w:val="20"/>
          <w:lang w:val="en-GB" w:eastAsia="fr-BE"/>
        </w:rPr>
        <w:t>Dillemans</w:t>
      </w:r>
      <w:proofErr w:type="spellEnd"/>
      <w:r w:rsidRPr="00F45C71">
        <w:rPr>
          <w:rFonts w:ascii="Calibri" w:hAnsi="Calibri" w:cs="Calibri"/>
          <w:sz w:val="20"/>
          <w:szCs w:val="20"/>
          <w:lang w:val="en-GB" w:eastAsia="fr-BE"/>
        </w:rPr>
        <w:t xml:space="preserve">, M., Boivin, P. and Debourg, A. Evaluation of the potent antioxidant effect of Saccharomyces cerevisiae extracts during beer production. </w:t>
      </w:r>
      <w:proofErr w:type="spellStart"/>
      <w:r w:rsidRPr="00F45C71">
        <w:rPr>
          <w:rFonts w:ascii="Calibri" w:hAnsi="Calibri" w:cs="Calibri"/>
          <w:sz w:val="20"/>
          <w:szCs w:val="20"/>
          <w:lang w:val="en-GB" w:eastAsia="fr-BE"/>
        </w:rPr>
        <w:t>Cerevisia</w:t>
      </w:r>
      <w:proofErr w:type="spellEnd"/>
      <w:r w:rsidRPr="00F45C71">
        <w:rPr>
          <w:rFonts w:ascii="Calibri" w:hAnsi="Calibri" w:cs="Calibri"/>
          <w:sz w:val="20"/>
          <w:szCs w:val="20"/>
          <w:lang w:val="en-GB" w:eastAsia="fr-BE"/>
        </w:rPr>
        <w:t>: Belgian Journal of Brewing and Biotechnology, 27(1):27-32, 2002.</w:t>
      </w:r>
    </w:p>
  </w:footnote>
  <w:footnote w:id="7">
    <w:p w14:paraId="7714F5ED" w14:textId="77777777" w:rsidR="00590091" w:rsidRPr="00F45C71" w:rsidRDefault="00590091" w:rsidP="00590091">
      <w:pPr>
        <w:spacing w:after="0" w:line="240" w:lineRule="auto"/>
        <w:jc w:val="both"/>
        <w:rPr>
          <w:rFonts w:ascii="Calibri" w:hAnsi="Calibri" w:cs="Calibri"/>
          <w:sz w:val="20"/>
          <w:szCs w:val="20"/>
          <w:lang w:val="en-GB" w:eastAsia="fr-BE"/>
        </w:rPr>
      </w:pPr>
      <w:r w:rsidRPr="00F45C71">
        <w:rPr>
          <w:rStyle w:val="Appelnotedebasdep"/>
          <w:sz w:val="20"/>
          <w:szCs w:val="20"/>
        </w:rPr>
        <w:footnoteRef/>
      </w:r>
      <w:r w:rsidRPr="00F45C71">
        <w:rPr>
          <w:sz w:val="20"/>
          <w:szCs w:val="20"/>
          <w:lang w:val="en-GB"/>
        </w:rPr>
        <w:t xml:space="preserve"> </w:t>
      </w:r>
      <w:r w:rsidRPr="00F45C71">
        <w:rPr>
          <w:rFonts w:ascii="Calibri" w:hAnsi="Calibri" w:cs="Calibri"/>
          <w:sz w:val="20"/>
          <w:szCs w:val="20"/>
          <w:lang w:val="en-GB" w:eastAsia="fr-BE"/>
        </w:rPr>
        <w:t>Bonifácio-Lopes T., José A. Teixeira &amp; Manuela Pintado (2019): Current extraction techniques towards bioactive compounds from brewer’s spent grain – A review, Critical. Reviews in Food Science and Nutrition.</w:t>
      </w:r>
    </w:p>
    <w:p w14:paraId="7A2B8FA3" w14:textId="77777777" w:rsidR="00590091" w:rsidRPr="000171DC" w:rsidRDefault="00590091" w:rsidP="00590091">
      <w:pPr>
        <w:pStyle w:val="Notedebasdepage"/>
        <w:rPr>
          <w:lang w:val="en-GB"/>
        </w:rPr>
      </w:pPr>
    </w:p>
  </w:footnote>
  <w:footnote w:id="8">
    <w:p w14:paraId="74325ADF" w14:textId="77777777" w:rsidR="00590091" w:rsidRPr="00932C21" w:rsidRDefault="00590091" w:rsidP="00590091">
      <w:pPr>
        <w:pStyle w:val="Notedebasdepage"/>
        <w:jc w:val="both"/>
        <w:rPr>
          <w:lang w:val="en-GB"/>
        </w:rPr>
      </w:pPr>
      <w:r>
        <w:rPr>
          <w:rStyle w:val="Appelnotedebasdep"/>
        </w:rPr>
        <w:footnoteRef/>
      </w:r>
      <w:r w:rsidRPr="003F34BE">
        <w:rPr>
          <w:lang w:val="en-GB"/>
        </w:rPr>
        <w:t xml:space="preserve"> </w:t>
      </w:r>
      <w:proofErr w:type="spellStart"/>
      <w:r w:rsidRPr="003F34BE">
        <w:rPr>
          <w:lang w:val="en-GB"/>
        </w:rPr>
        <w:t>Tofalo</w:t>
      </w:r>
      <w:proofErr w:type="spellEnd"/>
      <w:r w:rsidRPr="003F34BE">
        <w:rPr>
          <w:lang w:val="en-GB"/>
        </w:rPr>
        <w:t xml:space="preserve"> et al. (2020) Correlation between IRC7 gene expression and 4-mercapto 4-methylpentan-2-one production in Saccharomyces cerevisiae strains. </w:t>
      </w:r>
      <w:r w:rsidRPr="00932C21">
        <w:rPr>
          <w:lang w:val="en-GB"/>
        </w:rPr>
        <w:t xml:space="preserve">Yeast  </w:t>
      </w:r>
    </w:p>
  </w:footnote>
  <w:footnote w:id="9">
    <w:p w14:paraId="4AD50430" w14:textId="77777777" w:rsidR="00590091" w:rsidRPr="00932C21" w:rsidRDefault="00590091" w:rsidP="00590091">
      <w:pPr>
        <w:pStyle w:val="Notedebasdepage"/>
      </w:pPr>
      <w:r>
        <w:rPr>
          <w:rStyle w:val="Appelnotedebasdep"/>
        </w:rPr>
        <w:footnoteRef/>
      </w:r>
      <w:r w:rsidRPr="0019663D">
        <w:rPr>
          <w:lang w:val="en-GB"/>
        </w:rPr>
        <w:t xml:space="preserve"> </w:t>
      </w:r>
      <w:r>
        <w:rPr>
          <w:lang w:val="en-GB"/>
        </w:rPr>
        <w:t xml:space="preserve">Ruiz et al. (2021) </w:t>
      </w:r>
      <w:r w:rsidRPr="0019663D">
        <w:rPr>
          <w:lang w:val="en-GB"/>
        </w:rPr>
        <w:t>New insights into the paradoxical distribution of IRC7 in Saccharomyces cerevisiae and its associated phenotypic and genomic landscapes</w:t>
      </w:r>
      <w:r>
        <w:rPr>
          <w:lang w:val="en-GB"/>
        </w:rPr>
        <w:t xml:space="preserve">. </w:t>
      </w:r>
      <w:proofErr w:type="spellStart"/>
      <w:r w:rsidRPr="00932C21">
        <w:t>Environmental</w:t>
      </w:r>
      <w:proofErr w:type="spellEnd"/>
      <w:r w:rsidRPr="00932C21">
        <w:t xml:space="preserve"> </w:t>
      </w:r>
      <w:proofErr w:type="spellStart"/>
      <w:r w:rsidRPr="00932C21">
        <w:t>microbiology</w:t>
      </w:r>
      <w:proofErr w:type="spellEnd"/>
    </w:p>
  </w:footnote>
  <w:footnote w:id="10">
    <w:p w14:paraId="690E83EB" w14:textId="77777777" w:rsidR="00590091" w:rsidRDefault="00590091" w:rsidP="00590091">
      <w:pPr>
        <w:pStyle w:val="Notedebasdepage"/>
      </w:pPr>
      <w:r>
        <w:rPr>
          <w:rStyle w:val="Appelnotedebasdep"/>
        </w:rPr>
        <w:footnoteRef/>
      </w:r>
      <w:r>
        <w:t xml:space="preserve"> Travail de fin d’études présenté par Kevin DJUITCHOKO EBOU en vue de l’obtention du grade académique</w:t>
      </w:r>
    </w:p>
    <w:p w14:paraId="6CE7D072" w14:textId="77777777" w:rsidR="00590091" w:rsidRDefault="00590091" w:rsidP="00590091">
      <w:pPr>
        <w:pStyle w:val="Notedebasdepage"/>
      </w:pPr>
      <w:proofErr w:type="gramStart"/>
      <w:r>
        <w:t>de</w:t>
      </w:r>
      <w:proofErr w:type="gramEnd"/>
      <w:r>
        <w:t xml:space="preserve"> Master en Sciences de l’ingénieur industriel en agronomie (2023)</w:t>
      </w:r>
    </w:p>
  </w:footnote>
  <w:footnote w:id="11">
    <w:p w14:paraId="14348BD8" w14:textId="77777777" w:rsidR="00590091" w:rsidRPr="001F5270" w:rsidRDefault="00590091" w:rsidP="00590091">
      <w:pPr>
        <w:spacing w:after="0" w:line="240" w:lineRule="auto"/>
        <w:jc w:val="both"/>
        <w:rPr>
          <w:rFonts w:cstheme="minorHAnsi"/>
          <w:sz w:val="20"/>
          <w:szCs w:val="20"/>
          <w:lang w:val="en-GB"/>
        </w:rPr>
      </w:pPr>
      <w:r w:rsidRPr="001F5270">
        <w:rPr>
          <w:rStyle w:val="Appelnotedebasdep"/>
          <w:sz w:val="20"/>
          <w:szCs w:val="20"/>
        </w:rPr>
        <w:footnoteRef/>
      </w:r>
      <w:r w:rsidRPr="00932C21">
        <w:rPr>
          <w:sz w:val="20"/>
          <w:szCs w:val="20"/>
          <w:lang w:val="en-GB"/>
        </w:rPr>
        <w:t xml:space="preserve"> </w:t>
      </w:r>
      <w:r w:rsidRPr="00932C21">
        <w:rPr>
          <w:rFonts w:cstheme="minorHAnsi"/>
          <w:sz w:val="20"/>
          <w:szCs w:val="20"/>
          <w:lang w:val="en-GB"/>
        </w:rPr>
        <w:t xml:space="preserve">Alves Santos et al. </w:t>
      </w:r>
      <w:r w:rsidRPr="001F5270">
        <w:rPr>
          <w:rFonts w:cstheme="minorHAnsi"/>
          <w:sz w:val="20"/>
          <w:szCs w:val="20"/>
          <w:lang w:val="en-GB"/>
        </w:rPr>
        <w:t>(2021) NIR and MIR spectroscopy for quick detection of the adulteration of cocoa content in chocolates</w:t>
      </w:r>
      <w:r w:rsidRPr="001F5270">
        <w:rPr>
          <w:sz w:val="20"/>
          <w:szCs w:val="20"/>
          <w:lang w:val="en-GB"/>
        </w:rPr>
        <w:t xml:space="preserve"> </w:t>
      </w:r>
      <w:r w:rsidRPr="001F5270">
        <w:rPr>
          <w:rFonts w:cstheme="minorHAnsi"/>
          <w:sz w:val="20"/>
          <w:szCs w:val="20"/>
          <w:lang w:val="en-GB"/>
        </w:rPr>
        <w:t>Food Chemistry, 349, 129095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4054" w14:textId="77777777" w:rsidR="003452B7" w:rsidRDefault="00D741D0" w:rsidP="00A803F2">
    <w:pPr>
      <w:pStyle w:val="En-tte"/>
      <w:ind w:left="-567" w:right="-172"/>
    </w:pPr>
    <w:r>
      <w:rPr>
        <w:noProof/>
        <w:lang w:eastAsia="fr-BE"/>
      </w:rPr>
      <w:drawing>
        <wp:inline distT="0" distB="0" distL="0" distR="0" wp14:anchorId="448B2A8A" wp14:editId="29EBDBCE">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71F7628C"/>
    <w:multiLevelType w:val="hybridMultilevel"/>
    <w:tmpl w:val="98B833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F4616C"/>
    <w:multiLevelType w:val="hybridMultilevel"/>
    <w:tmpl w:val="29A89BEC"/>
    <w:lvl w:ilvl="0" w:tplc="AEC2DF0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E154E0D"/>
    <w:multiLevelType w:val="hybridMultilevel"/>
    <w:tmpl w:val="DCFC5F4E"/>
    <w:lvl w:ilvl="0" w:tplc="3EF8009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9611377">
    <w:abstractNumId w:val="0"/>
  </w:num>
  <w:num w:numId="2" w16cid:durableId="233780780">
    <w:abstractNumId w:val="0"/>
  </w:num>
  <w:num w:numId="3" w16cid:durableId="1035814341">
    <w:abstractNumId w:val="0"/>
  </w:num>
  <w:num w:numId="4" w16cid:durableId="370881096">
    <w:abstractNumId w:val="0"/>
  </w:num>
  <w:num w:numId="5" w16cid:durableId="1322856964">
    <w:abstractNumId w:val="0"/>
  </w:num>
  <w:num w:numId="6" w16cid:durableId="889271636">
    <w:abstractNumId w:val="0"/>
  </w:num>
  <w:num w:numId="7" w16cid:durableId="1092430759">
    <w:abstractNumId w:val="0"/>
  </w:num>
  <w:num w:numId="8" w16cid:durableId="1020669783">
    <w:abstractNumId w:val="0"/>
  </w:num>
  <w:num w:numId="9" w16cid:durableId="1273706162">
    <w:abstractNumId w:val="0"/>
  </w:num>
  <w:num w:numId="10" w16cid:durableId="610556892">
    <w:abstractNumId w:val="2"/>
  </w:num>
  <w:num w:numId="11" w16cid:durableId="1500461064">
    <w:abstractNumId w:val="1"/>
  </w:num>
  <w:num w:numId="12" w16cid:durableId="2610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91"/>
    <w:rsid w:val="0000234C"/>
    <w:rsid w:val="000203FB"/>
    <w:rsid w:val="00082E6C"/>
    <w:rsid w:val="00094EC5"/>
    <w:rsid w:val="000A4106"/>
    <w:rsid w:val="000B30D4"/>
    <w:rsid w:val="000E7013"/>
    <w:rsid w:val="000F0973"/>
    <w:rsid w:val="00114859"/>
    <w:rsid w:val="001379B4"/>
    <w:rsid w:val="00143C58"/>
    <w:rsid w:val="001526F9"/>
    <w:rsid w:val="00163A83"/>
    <w:rsid w:val="0018221C"/>
    <w:rsid w:val="00182915"/>
    <w:rsid w:val="00190DDC"/>
    <w:rsid w:val="001973BD"/>
    <w:rsid w:val="001A2490"/>
    <w:rsid w:val="001B30FC"/>
    <w:rsid w:val="001F3538"/>
    <w:rsid w:val="001F57FF"/>
    <w:rsid w:val="0020390E"/>
    <w:rsid w:val="00213CBE"/>
    <w:rsid w:val="002304D7"/>
    <w:rsid w:val="0024352A"/>
    <w:rsid w:val="00280443"/>
    <w:rsid w:val="00290AE9"/>
    <w:rsid w:val="002C233A"/>
    <w:rsid w:val="002E34AB"/>
    <w:rsid w:val="00301987"/>
    <w:rsid w:val="00313B6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90091"/>
    <w:rsid w:val="005B5445"/>
    <w:rsid w:val="005D49CE"/>
    <w:rsid w:val="00645E4A"/>
    <w:rsid w:val="006538BF"/>
    <w:rsid w:val="0066155E"/>
    <w:rsid w:val="00683810"/>
    <w:rsid w:val="006963DC"/>
    <w:rsid w:val="006C288C"/>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6134A"/>
    <w:rsid w:val="00D741D0"/>
    <w:rsid w:val="00D923DA"/>
    <w:rsid w:val="00DB43CF"/>
    <w:rsid w:val="00DC073B"/>
    <w:rsid w:val="00DD4422"/>
    <w:rsid w:val="00DE4142"/>
    <w:rsid w:val="00DF0ADB"/>
    <w:rsid w:val="00DF225D"/>
    <w:rsid w:val="00E4574E"/>
    <w:rsid w:val="00E96253"/>
    <w:rsid w:val="00ED5C6B"/>
    <w:rsid w:val="00F36220"/>
    <w:rsid w:val="00F67562"/>
    <w:rsid w:val="00F70106"/>
    <w:rsid w:val="00F74229"/>
    <w:rsid w:val="00FA3F90"/>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9BCD"/>
  <w15:chartTrackingRefBased/>
  <w15:docId w15:val="{D01A8EB2-D0E6-4C48-83D4-FADC060B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91"/>
    <w:rPr>
      <w:kern w:val="2"/>
      <w14:ligatures w14:val="standardContextual"/>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paragraph" w:styleId="Notedebasdepage">
    <w:name w:val="footnote text"/>
    <w:basedOn w:val="Normal"/>
    <w:link w:val="NotedebasdepageCar"/>
    <w:uiPriority w:val="99"/>
    <w:semiHidden/>
    <w:unhideWhenUsed/>
    <w:rsid w:val="005900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0091"/>
    <w:rPr>
      <w:kern w:val="2"/>
      <w:sz w:val="20"/>
      <w:szCs w:val="20"/>
      <w14:ligatures w14:val="standardContextual"/>
    </w:rPr>
  </w:style>
  <w:style w:type="character" w:styleId="Appelnotedebasdep">
    <w:name w:val="footnote reference"/>
    <w:basedOn w:val="Policepardfaut"/>
    <w:uiPriority w:val="99"/>
    <w:semiHidden/>
    <w:unhideWhenUsed/>
    <w:rsid w:val="00590091"/>
    <w:rPr>
      <w:vertAlign w:val="superscript"/>
    </w:rPr>
  </w:style>
  <w:style w:type="paragraph" w:customStyle="1" w:styleId="paragraph">
    <w:name w:val="paragraph"/>
    <w:basedOn w:val="Normal"/>
    <w:rsid w:val="0059009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normaltextrun">
    <w:name w:val="normaltextrun"/>
    <w:basedOn w:val="Policepardfaut"/>
    <w:rsid w:val="00590091"/>
  </w:style>
  <w:style w:type="paragraph" w:styleId="Corpsdetexte">
    <w:name w:val="Body Text"/>
    <w:basedOn w:val="Normal"/>
    <w:link w:val="CorpsdetexteCar"/>
    <w:rsid w:val="00590091"/>
    <w:pPr>
      <w:spacing w:after="0" w:line="240" w:lineRule="auto"/>
      <w:jc w:val="both"/>
    </w:pPr>
    <w:rPr>
      <w:rFonts w:ascii="Garamond" w:eastAsia="Times New Roman" w:hAnsi="Garamond" w:cs="Times New Roman"/>
      <w:kern w:val="0"/>
      <w:sz w:val="28"/>
      <w:szCs w:val="20"/>
      <w:lang w:val="fr-FR" w:eastAsia="fr-FR"/>
      <w14:ligatures w14:val="none"/>
    </w:rPr>
  </w:style>
  <w:style w:type="character" w:customStyle="1" w:styleId="CorpsdetexteCar">
    <w:name w:val="Corps de texte Car"/>
    <w:basedOn w:val="Policepardfaut"/>
    <w:link w:val="Corpsdetexte"/>
    <w:rsid w:val="00590091"/>
    <w:rPr>
      <w:rFonts w:ascii="Garamond" w:eastAsia="Times New Roman" w:hAnsi="Garamond"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ABIRIS\_COMMUN\Mod&#232;le_Lettre_LABIRIS.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AEFC-189D-449B-ADAD-17F5DF5C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Modèle_Lettre_LABIRIS.dotx</Template>
  <TotalTime>4</TotalTime>
  <Pages>5</Pages>
  <Words>2023</Words>
  <Characters>11536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VAN NEDERVELDE</dc:creator>
  <cp:keywords/>
  <dc:description/>
  <cp:lastModifiedBy>Laurence VAN NEDERVELDE</cp:lastModifiedBy>
  <cp:revision>1</cp:revision>
  <cp:lastPrinted>2021-04-14T13:35:00Z</cp:lastPrinted>
  <dcterms:created xsi:type="dcterms:W3CDTF">2024-03-05T10:57:00Z</dcterms:created>
  <dcterms:modified xsi:type="dcterms:W3CDTF">2024-03-05T11:02:00Z</dcterms:modified>
</cp:coreProperties>
</file>